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45063381" w:rsidR="00D309CC" w:rsidRDefault="00D309CC" w:rsidP="00D46431">
      <w:pPr>
        <w:pStyle w:val="CH"/>
      </w:pPr>
      <w:bookmarkStart w:id="0" w:name="historyclause"/>
      <w:r w:rsidRPr="006073EA">
        <w:t>3GPP RAN</w:t>
      </w:r>
      <w:r w:rsidR="00CF20E3" w:rsidRPr="006073EA">
        <w:t xml:space="preserve"> </w:t>
      </w:r>
      <w:r w:rsidRPr="006073EA">
        <w:t>WG</w:t>
      </w:r>
      <w:r w:rsidR="006073EA">
        <w:t>4</w:t>
      </w:r>
      <w:r w:rsidRPr="006073EA">
        <w:t xml:space="preserve"> Meeting #</w:t>
      </w:r>
      <w:r w:rsidR="006073EA">
        <w:t>96</w:t>
      </w:r>
      <w:r w:rsidR="00847B1B">
        <w:t>-e</w:t>
      </w:r>
      <w:r>
        <w:tab/>
      </w:r>
      <w:r w:rsidR="00D46431">
        <w:tab/>
      </w:r>
      <w:r w:rsidRPr="00E20336">
        <w:t>R</w:t>
      </w:r>
      <w:r w:rsidR="00E20336" w:rsidRPr="00E20336">
        <w:t>4</w:t>
      </w:r>
      <w:r w:rsidRPr="00E20336">
        <w:t>-</w:t>
      </w:r>
      <w:r w:rsidR="00EC4847" w:rsidRPr="00E20336">
        <w:t>20</w:t>
      </w:r>
      <w:r w:rsidR="00E20336" w:rsidRPr="00E20336">
        <w:t>09963</w:t>
      </w:r>
    </w:p>
    <w:p w14:paraId="50DC9730" w14:textId="774EDC64" w:rsidR="00D309CC" w:rsidRPr="00FD166F" w:rsidRDefault="00EC4847" w:rsidP="00D46431">
      <w:pPr>
        <w:pStyle w:val="CH"/>
        <w:tabs>
          <w:tab w:val="clear" w:pos="7920"/>
        </w:tabs>
        <w:rPr>
          <w:b w:val="0"/>
        </w:rPr>
      </w:pPr>
      <w:r w:rsidRPr="00EC4847">
        <w:t>Electronic meeting, 17th – 28th August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45DB11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64329">
        <w:rPr>
          <w:lang w:val="en-US"/>
        </w:rPr>
        <w:t>7.12.</w:t>
      </w:r>
      <w:r w:rsidR="003177B7">
        <w:rPr>
          <w:lang w:val="en-US"/>
        </w:rPr>
        <w:t>1.</w:t>
      </w:r>
      <w:r w:rsidR="00564329">
        <w:rPr>
          <w:lang w:val="en-US"/>
        </w:rPr>
        <w:t>5</w:t>
      </w:r>
    </w:p>
    <w:p w14:paraId="4DBE005A" w14:textId="1F08898F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  <w:r w:rsidR="00564329">
        <w:t>, Qualcomm Incorporated</w:t>
      </w:r>
    </w:p>
    <w:p w14:paraId="0D2061A1" w14:textId="5391B1F1" w:rsidR="00D309CC" w:rsidRPr="00D67DE5" w:rsidRDefault="00D309CC" w:rsidP="00D309CC">
      <w:pPr>
        <w:pStyle w:val="CH"/>
        <w:rPr>
          <w:lang w:val="en-DE"/>
        </w:rPr>
      </w:pPr>
      <w:r w:rsidRPr="00027C9D">
        <w:rPr>
          <w:lang w:val="en-US"/>
        </w:rPr>
        <w:t>Title:</w:t>
      </w:r>
      <w:r w:rsidRPr="00027C9D">
        <w:rPr>
          <w:lang w:val="en-US"/>
        </w:rPr>
        <w:tab/>
      </w:r>
      <w:r w:rsidR="00D67DE5">
        <w:rPr>
          <w:lang w:val="en-US"/>
        </w:rPr>
        <w:t>Beam Management assumptions for inter-band CA</w:t>
      </w:r>
    </w:p>
    <w:p w14:paraId="052B1E0C" w14:textId="0661E6C9" w:rsidR="00104BC6" w:rsidRPr="00564329" w:rsidRDefault="00104BC6" w:rsidP="00D309CC">
      <w:pPr>
        <w:pStyle w:val="CH"/>
        <w:rPr>
          <w:lang w:val="en-DE"/>
        </w:rPr>
      </w:pPr>
      <w:r w:rsidRPr="002B7E71">
        <w:rPr>
          <w:lang w:val="en-US"/>
        </w:rPr>
        <w:t>WI/SI:</w:t>
      </w:r>
      <w:r w:rsidRPr="002B7E71">
        <w:rPr>
          <w:lang w:val="en-US"/>
        </w:rPr>
        <w:tab/>
      </w:r>
      <w:r w:rsidR="00564329" w:rsidRPr="00564329">
        <w:rPr>
          <w:lang w:val="en-US"/>
        </w:rPr>
        <w:t>NR_RF_FR2_req_enh-Core</w:t>
      </w:r>
    </w:p>
    <w:p w14:paraId="6C6D1281" w14:textId="7F17130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564329">
        <w:t>Rel-</w:t>
      </w:r>
      <w:r w:rsidR="00564329" w:rsidRPr="00564329">
        <w:t>16</w:t>
      </w:r>
    </w:p>
    <w:p w14:paraId="2E4E044D" w14:textId="369B86E4" w:rsidR="00D309CC" w:rsidRDefault="00D309CC" w:rsidP="00D309CC">
      <w:pPr>
        <w:pStyle w:val="CH"/>
      </w:pPr>
      <w:r>
        <w:t>Document for:</w:t>
      </w:r>
      <w:r>
        <w:tab/>
      </w:r>
      <w:r w:rsidR="00C868CC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743FF4C9" w:rsidR="008E7986" w:rsidRPr="0069083A" w:rsidRDefault="002B7E71" w:rsidP="00A41A8C">
      <w:r>
        <w:t>RAN4 had discussed during the last meetings</w:t>
      </w:r>
      <w:r w:rsidR="000B49E9">
        <w:t xml:space="preserve"> whether a capability </w:t>
      </w:r>
      <w:r w:rsidR="00EB7D89">
        <w:t>is</w:t>
      </w:r>
      <w:r w:rsidR="000B49E9">
        <w:t xml:space="preserve"> required in order to distinguish between common beam management (CBM) and independent beam management (IBM) band pairs. Two alternatives were provided for further discussion, either to define a capability to declare between IBM or CBM per band pair or to define the IBM/CBM band pairs following the specification requirements. In t</w:t>
      </w:r>
      <w:r w:rsidR="003E7753" w:rsidRPr="0069083A">
        <w:t>his document</w:t>
      </w:r>
      <w:r w:rsidR="000B49E9">
        <w:t xml:space="preserve"> we share our view on the introduction of IBM/CBM capability. </w:t>
      </w:r>
    </w:p>
    <w:p w14:paraId="3A67921B" w14:textId="15968470" w:rsidR="008E7986" w:rsidRDefault="008E7986" w:rsidP="008E7986">
      <w:pPr>
        <w:pStyle w:val="Heading1"/>
      </w:pPr>
      <w:r>
        <w:t>2</w:t>
      </w:r>
      <w:r>
        <w:tab/>
      </w:r>
      <w:r w:rsidR="003C0DD3">
        <w:t>Discussion</w:t>
      </w:r>
      <w:r>
        <w:t xml:space="preserve"> </w:t>
      </w:r>
    </w:p>
    <w:p w14:paraId="76F655FE" w14:textId="3FCFAF54" w:rsidR="00695D25" w:rsidRDefault="00695D25" w:rsidP="00D63693">
      <w:r>
        <w:t>This section</w:t>
      </w:r>
      <w:r w:rsidR="00D63693">
        <w:t xml:space="preserve"> </w:t>
      </w:r>
      <w:r>
        <w:t>is divided</w:t>
      </w:r>
      <w:r w:rsidR="00D63693">
        <w:t xml:space="preserve"> </w:t>
      </w:r>
      <w:r>
        <w:t>into the inter-band CA</w:t>
      </w:r>
      <w:r w:rsidR="00D63693">
        <w:t xml:space="preserve"> band </w:t>
      </w:r>
      <w:r w:rsidR="00FA4489">
        <w:t xml:space="preserve">pairs </w:t>
      </w:r>
      <w:r>
        <w:t>d</w:t>
      </w:r>
      <w:r w:rsidR="007F3BEB">
        <w:t xml:space="preserve">iscussed </w:t>
      </w:r>
      <w:r>
        <w:t xml:space="preserve">in RAN4 in order </w:t>
      </w:r>
      <w:r w:rsidR="007F4CF9">
        <w:t xml:space="preserve">to </w:t>
      </w:r>
      <w:r w:rsidR="007F3BEB">
        <w:t xml:space="preserve">share our view on </w:t>
      </w:r>
      <w:r>
        <w:t xml:space="preserve">whether it is necessary to introduce a capability </w:t>
      </w:r>
      <w:r w:rsidR="007F4CF9">
        <w:t>to distinguish between CBM and IBM</w:t>
      </w:r>
      <w:r>
        <w:t xml:space="preserve">. </w:t>
      </w:r>
      <w:r w:rsidR="007F3BEB">
        <w:t>In this contribution we are considering t</w:t>
      </w:r>
      <w:r>
        <w:t xml:space="preserve">he band </w:t>
      </w:r>
      <w:r w:rsidR="007F3BEB">
        <w:t>groups</w:t>
      </w:r>
      <w:r>
        <w:t xml:space="preserve"> as follows:</w:t>
      </w:r>
    </w:p>
    <w:p w14:paraId="413AC3AC" w14:textId="77777777" w:rsidR="002B7E71" w:rsidRPr="002B7E71" w:rsidRDefault="002B7E71" w:rsidP="00695D25">
      <w:pPr>
        <w:pStyle w:val="NormalWeb"/>
        <w:numPr>
          <w:ilvl w:val="0"/>
          <w:numId w:val="28"/>
        </w:numPr>
        <w:rPr>
          <w:color w:val="000000" w:themeColor="text1"/>
          <w:sz w:val="20"/>
          <w:szCs w:val="20"/>
          <w:lang w:val="en-US"/>
        </w:rPr>
      </w:pPr>
      <w:r w:rsidRPr="002B7E71">
        <w:rPr>
          <w:color w:val="000000" w:themeColor="text1"/>
          <w:sz w:val="20"/>
          <w:szCs w:val="20"/>
          <w:lang w:val="en-US"/>
        </w:rPr>
        <w:t>“28GHz” stands for a band group includes n257, n258, n261</w:t>
      </w:r>
    </w:p>
    <w:p w14:paraId="067175C1" w14:textId="77777777" w:rsidR="00695D25" w:rsidRDefault="002B7E71" w:rsidP="00695D25">
      <w:pPr>
        <w:pStyle w:val="NormalWeb"/>
        <w:numPr>
          <w:ilvl w:val="0"/>
          <w:numId w:val="28"/>
        </w:numPr>
        <w:rPr>
          <w:color w:val="000000" w:themeColor="text1"/>
          <w:sz w:val="20"/>
          <w:szCs w:val="20"/>
          <w:lang w:val="en-US"/>
        </w:rPr>
      </w:pPr>
      <w:r w:rsidRPr="002B7E71">
        <w:rPr>
          <w:color w:val="000000" w:themeColor="text1"/>
          <w:sz w:val="20"/>
          <w:szCs w:val="20"/>
          <w:lang w:val="en-US"/>
        </w:rPr>
        <w:t>“39GHz” stands for a band group includes n259, n260</w:t>
      </w:r>
    </w:p>
    <w:p w14:paraId="566D7BFF" w14:textId="77777777" w:rsidR="00695D25" w:rsidRPr="00695D25" w:rsidRDefault="00695D25" w:rsidP="00D63693">
      <w:pPr>
        <w:rPr>
          <w:lang w:val="en-US"/>
        </w:rPr>
      </w:pPr>
    </w:p>
    <w:p w14:paraId="4A636D17" w14:textId="74518996" w:rsidR="00D63693" w:rsidRPr="00D63693" w:rsidRDefault="00D63693" w:rsidP="00D63693">
      <w:pPr>
        <w:rPr>
          <w:b/>
          <w:bCs/>
          <w:u w:val="single"/>
        </w:rPr>
      </w:pPr>
      <w:r w:rsidRPr="00D63693">
        <w:rPr>
          <w:b/>
          <w:bCs/>
          <w:u w:val="single"/>
        </w:rPr>
        <w:t xml:space="preserve">For 28 GHz + 39 GHz band </w:t>
      </w:r>
      <w:r w:rsidR="00FA4489">
        <w:rPr>
          <w:b/>
          <w:bCs/>
          <w:u w:val="single"/>
        </w:rPr>
        <w:t>pairs</w:t>
      </w:r>
      <w:r w:rsidRPr="00D63693">
        <w:rPr>
          <w:b/>
          <w:bCs/>
          <w:u w:val="single"/>
        </w:rPr>
        <w:t>:</w:t>
      </w:r>
    </w:p>
    <w:p w14:paraId="6C36E647" w14:textId="696E4A48" w:rsidR="007F3BEB" w:rsidRDefault="002B7E71" w:rsidP="002B7E71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RAN4 has a common understanding for beam management when considering 28 GHz + 39 GHz</w:t>
      </w:r>
      <w:r w:rsidR="00695D25">
        <w:rPr>
          <w:color w:val="000000" w:themeColor="text1"/>
          <w:sz w:val="20"/>
          <w:szCs w:val="20"/>
          <w:lang w:val="en-US"/>
        </w:rPr>
        <w:t>. A</w:t>
      </w:r>
      <w:r>
        <w:rPr>
          <w:color w:val="000000" w:themeColor="text1"/>
          <w:sz w:val="20"/>
          <w:szCs w:val="20"/>
          <w:lang w:val="en-US"/>
        </w:rPr>
        <w:t>ccording to</w:t>
      </w:r>
      <w:r w:rsidR="007F3BEB">
        <w:rPr>
          <w:color w:val="000000" w:themeColor="text1"/>
          <w:sz w:val="20"/>
          <w:szCs w:val="20"/>
          <w:lang w:val="en-US"/>
        </w:rPr>
        <w:t xml:space="preserve"> the WF on FR2 inter-band DL CA</w:t>
      </w:r>
      <w:r>
        <w:rPr>
          <w:color w:val="000000" w:themeColor="text1"/>
          <w:sz w:val="20"/>
          <w:szCs w:val="20"/>
          <w:lang w:val="en-US"/>
        </w:rPr>
        <w:t xml:space="preserve"> [1]</w:t>
      </w:r>
      <w:r w:rsidR="00695D25">
        <w:rPr>
          <w:color w:val="000000" w:themeColor="text1"/>
          <w:sz w:val="20"/>
          <w:szCs w:val="20"/>
          <w:lang w:val="en-US"/>
        </w:rPr>
        <w:t>,</w:t>
      </w:r>
      <w:r w:rsidR="00D63693">
        <w:rPr>
          <w:color w:val="000000" w:themeColor="text1"/>
          <w:sz w:val="20"/>
          <w:szCs w:val="20"/>
          <w:lang w:val="en-US"/>
        </w:rPr>
        <w:t xml:space="preserve"> </w:t>
      </w:r>
      <w:r w:rsidRPr="002B7E71">
        <w:rPr>
          <w:color w:val="000000" w:themeColor="text1"/>
          <w:sz w:val="20"/>
          <w:szCs w:val="20"/>
          <w:lang w:val="en-US"/>
        </w:rPr>
        <w:t xml:space="preserve">UE is assumed to be feasible to have </w:t>
      </w:r>
      <w:r w:rsidR="006C1ECB">
        <w:rPr>
          <w:color w:val="000000" w:themeColor="text1"/>
          <w:sz w:val="20"/>
          <w:szCs w:val="20"/>
          <w:lang w:val="en-US"/>
        </w:rPr>
        <w:t>IBM</w:t>
      </w:r>
      <w:r w:rsidRPr="002B7E71">
        <w:rPr>
          <w:color w:val="000000" w:themeColor="text1"/>
          <w:sz w:val="20"/>
          <w:szCs w:val="20"/>
          <w:lang w:val="en-US"/>
        </w:rPr>
        <w:t xml:space="preserve"> for the bands that are part of supported band configuration in inter-band CA for 28 GHz + 39 GHz combinations</w:t>
      </w:r>
      <w:r>
        <w:rPr>
          <w:color w:val="000000" w:themeColor="text1"/>
          <w:sz w:val="20"/>
          <w:szCs w:val="20"/>
          <w:lang w:val="en-US"/>
        </w:rPr>
        <w:t>.</w:t>
      </w:r>
      <w:r w:rsidR="00695D25">
        <w:rPr>
          <w:color w:val="000000" w:themeColor="text1"/>
          <w:sz w:val="20"/>
          <w:szCs w:val="20"/>
          <w:lang w:val="en-US"/>
        </w:rPr>
        <w:t xml:space="preserve"> </w:t>
      </w:r>
      <w:r w:rsidR="00EA5922">
        <w:rPr>
          <w:color w:val="000000" w:themeColor="text1"/>
          <w:sz w:val="20"/>
          <w:szCs w:val="20"/>
          <w:lang w:val="en-US"/>
        </w:rPr>
        <w:t>Thus, t</w:t>
      </w:r>
      <w:r w:rsidR="00695D25">
        <w:rPr>
          <w:color w:val="000000" w:themeColor="text1"/>
          <w:sz w:val="20"/>
          <w:szCs w:val="20"/>
          <w:lang w:val="en-US"/>
        </w:rPr>
        <w:t xml:space="preserve">he assumption </w:t>
      </w:r>
      <w:r w:rsidR="00AF35C3">
        <w:rPr>
          <w:color w:val="000000" w:themeColor="text1"/>
          <w:sz w:val="20"/>
          <w:szCs w:val="20"/>
          <w:lang w:val="en-US"/>
        </w:rPr>
        <w:t xml:space="preserve">for </w:t>
      </w:r>
      <w:r w:rsidR="00695D25">
        <w:rPr>
          <w:color w:val="000000" w:themeColor="text1"/>
          <w:sz w:val="20"/>
          <w:szCs w:val="20"/>
          <w:lang w:val="en-US"/>
        </w:rPr>
        <w:t xml:space="preserve">the beam management for inter-band CA </w:t>
      </w:r>
      <w:r w:rsidR="00046668">
        <w:rPr>
          <w:color w:val="000000" w:themeColor="text1"/>
          <w:sz w:val="20"/>
          <w:szCs w:val="20"/>
          <w:lang w:val="en-US"/>
        </w:rPr>
        <w:t xml:space="preserve">28 GHz + 39 GHz </w:t>
      </w:r>
      <w:r w:rsidR="00695D25">
        <w:rPr>
          <w:color w:val="000000" w:themeColor="text1"/>
          <w:sz w:val="20"/>
          <w:szCs w:val="20"/>
          <w:lang w:val="en-US"/>
        </w:rPr>
        <w:t>is IBM.</w:t>
      </w:r>
      <w:r w:rsidR="007F3BEB">
        <w:rPr>
          <w:color w:val="000000" w:themeColor="text1"/>
          <w:sz w:val="20"/>
          <w:szCs w:val="20"/>
          <w:lang w:val="en-US"/>
        </w:rPr>
        <w:br/>
      </w:r>
    </w:p>
    <w:p w14:paraId="733F525A" w14:textId="1798E18D" w:rsidR="007F3BEB" w:rsidRPr="007F3BEB" w:rsidRDefault="00327EB1" w:rsidP="00032013">
      <w:pPr>
        <w:pStyle w:val="TOC1"/>
        <w:rPr>
          <w:color w:val="000000" w:themeColor="text1"/>
          <w:lang w:val="en-US"/>
        </w:rPr>
      </w:pPr>
      <w:r>
        <w:t xml:space="preserve">Proposal </w:t>
      </w:r>
      <w:r w:rsidR="007F3BEB">
        <w:t>1:</w:t>
      </w:r>
      <w:r w:rsidR="007F3BEB">
        <w:tab/>
      </w:r>
      <w:r w:rsidR="007F3BEB">
        <w:rPr>
          <w:color w:val="000000" w:themeColor="text1"/>
          <w:lang w:val="en-US"/>
        </w:rPr>
        <w:t xml:space="preserve">The beam management </w:t>
      </w:r>
      <w:r w:rsidR="00C868CC">
        <w:rPr>
          <w:color w:val="000000" w:themeColor="text1"/>
          <w:lang w:val="en-US"/>
        </w:rPr>
        <w:t xml:space="preserve">assumption </w:t>
      </w:r>
      <w:r w:rsidR="007F3BEB">
        <w:rPr>
          <w:color w:val="000000" w:themeColor="text1"/>
          <w:lang w:val="en-US"/>
        </w:rPr>
        <w:t xml:space="preserve">for inter-band CA </w:t>
      </w:r>
      <w:r w:rsidR="00046668">
        <w:rPr>
          <w:color w:val="000000" w:themeColor="text1"/>
          <w:lang w:val="en-US"/>
        </w:rPr>
        <w:t xml:space="preserve">28 GHz + 39 GHz </w:t>
      </w:r>
      <w:r w:rsidR="007F3BEB">
        <w:rPr>
          <w:color w:val="000000" w:themeColor="text1"/>
          <w:lang w:val="en-US"/>
        </w:rPr>
        <w:t>is IBM.</w:t>
      </w:r>
      <w:r w:rsidR="00032013">
        <w:rPr>
          <w:color w:val="000000" w:themeColor="text1"/>
          <w:lang w:val="en-US"/>
        </w:rPr>
        <w:br/>
      </w:r>
    </w:p>
    <w:p w14:paraId="3B546A0C" w14:textId="77184277" w:rsidR="002B7E71" w:rsidRPr="002B7E71" w:rsidRDefault="00D63693" w:rsidP="00D63693">
      <w:pPr>
        <w:rPr>
          <w:b/>
          <w:bCs/>
          <w:u w:val="single"/>
        </w:rPr>
      </w:pPr>
      <w:r w:rsidRPr="00D63693">
        <w:rPr>
          <w:b/>
          <w:bCs/>
          <w:u w:val="single"/>
        </w:rPr>
        <w:t xml:space="preserve">For 28 GHz + 28 GHz band </w:t>
      </w:r>
      <w:r w:rsidR="00FA4489">
        <w:rPr>
          <w:b/>
          <w:bCs/>
          <w:u w:val="single"/>
        </w:rPr>
        <w:t>pairs</w:t>
      </w:r>
      <w:r w:rsidRPr="00D63693">
        <w:rPr>
          <w:b/>
          <w:bCs/>
          <w:u w:val="single"/>
        </w:rPr>
        <w:t>:</w:t>
      </w:r>
    </w:p>
    <w:p w14:paraId="4518C65C" w14:textId="4E97BA0E" w:rsidR="00AF35C3" w:rsidRDefault="00AA437A" w:rsidP="007F3BEB">
      <w:pPr>
        <w:pStyle w:val="NormalWeb"/>
        <w:rPr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An analysis on </w:t>
      </w:r>
      <w:r w:rsidR="006C1ECB">
        <w:rPr>
          <w:color w:val="000000" w:themeColor="text1"/>
          <w:sz w:val="20"/>
          <w:szCs w:val="20"/>
          <w:lang w:val="en-US"/>
        </w:rPr>
        <w:t>h</w:t>
      </w:r>
      <w:r w:rsidRPr="00AA437A">
        <w:rPr>
          <w:color w:val="000000" w:themeColor="text1"/>
          <w:sz w:val="20"/>
          <w:szCs w:val="20"/>
          <w:lang w:val="en-US"/>
        </w:rPr>
        <w:t xml:space="preserve">omogeneous </w:t>
      </w:r>
      <w:r w:rsidR="006C1ECB">
        <w:rPr>
          <w:color w:val="000000" w:themeColor="text1"/>
          <w:sz w:val="20"/>
          <w:szCs w:val="20"/>
          <w:lang w:val="en-US"/>
        </w:rPr>
        <w:t>ne</w:t>
      </w:r>
      <w:r w:rsidRPr="00AA437A">
        <w:rPr>
          <w:color w:val="000000" w:themeColor="text1"/>
          <w:sz w:val="20"/>
          <w:szCs w:val="20"/>
          <w:lang w:val="en-US"/>
        </w:rPr>
        <w:t xml:space="preserve">twork with distributed </w:t>
      </w:r>
      <w:proofErr w:type="spellStart"/>
      <w:r w:rsidRPr="00AA437A">
        <w:rPr>
          <w:color w:val="000000" w:themeColor="text1"/>
          <w:sz w:val="20"/>
          <w:szCs w:val="20"/>
          <w:lang w:val="en-US"/>
        </w:rPr>
        <w:t>gNBs</w:t>
      </w:r>
      <w:proofErr w:type="spellEnd"/>
      <w:r>
        <w:rPr>
          <w:color w:val="000000" w:themeColor="text1"/>
          <w:sz w:val="20"/>
          <w:szCs w:val="20"/>
          <w:lang w:val="en-US"/>
        </w:rPr>
        <w:t xml:space="preserve"> at 28 GHz was provided in [2], showing SLS simulation results for the UE beam management. </w:t>
      </w:r>
      <w:r w:rsidR="006C1ECB" w:rsidRPr="006C1ECB">
        <w:rPr>
          <w:color w:val="000000" w:themeColor="text1"/>
          <w:sz w:val="20"/>
          <w:szCs w:val="20"/>
          <w:lang w:val="en-US"/>
        </w:rPr>
        <w:t xml:space="preserve">The </w:t>
      </w:r>
      <w:r w:rsidR="006C1ECB">
        <w:rPr>
          <w:color w:val="000000" w:themeColor="text1"/>
          <w:sz w:val="20"/>
          <w:szCs w:val="20"/>
          <w:lang w:val="en-US"/>
        </w:rPr>
        <w:t xml:space="preserve">simulation </w:t>
      </w:r>
      <w:r w:rsidR="00AF35C3">
        <w:rPr>
          <w:color w:val="000000" w:themeColor="text1"/>
          <w:sz w:val="20"/>
          <w:szCs w:val="20"/>
          <w:lang w:val="en-US"/>
        </w:rPr>
        <w:t xml:space="preserve">result </w:t>
      </w:r>
      <w:r w:rsidR="00FA4489">
        <w:rPr>
          <w:color w:val="000000" w:themeColor="text1"/>
          <w:sz w:val="20"/>
          <w:szCs w:val="20"/>
          <w:lang w:val="en-US"/>
        </w:rPr>
        <w:t xml:space="preserve">showed the </w:t>
      </w:r>
      <w:r w:rsidR="00AF35C3">
        <w:rPr>
          <w:color w:val="000000" w:themeColor="text1"/>
          <w:sz w:val="20"/>
          <w:szCs w:val="20"/>
          <w:lang w:val="en-US"/>
        </w:rPr>
        <w:t>CDF for the user-site path gain distribution, in which</w:t>
      </w:r>
      <w:r w:rsidR="006C1ECB">
        <w:rPr>
          <w:color w:val="000000" w:themeColor="text1"/>
          <w:sz w:val="20"/>
          <w:szCs w:val="20"/>
          <w:lang w:val="en-US"/>
        </w:rPr>
        <w:t xml:space="preserve"> th</w:t>
      </w:r>
      <w:r w:rsidR="00AF35C3">
        <w:rPr>
          <w:color w:val="000000" w:themeColor="text1"/>
          <w:sz w:val="20"/>
          <w:szCs w:val="20"/>
          <w:lang w:val="en-US"/>
        </w:rPr>
        <w:t xml:space="preserve">e </w:t>
      </w:r>
      <w:r w:rsidR="006C1ECB" w:rsidRPr="006C1ECB">
        <w:rPr>
          <w:color w:val="000000" w:themeColor="text1"/>
          <w:sz w:val="20"/>
          <w:szCs w:val="20"/>
          <w:lang w:val="en-US"/>
        </w:rPr>
        <w:t xml:space="preserve">95%-tile Path gain difference between the two CCs is 27.1 </w:t>
      </w:r>
      <w:proofErr w:type="spellStart"/>
      <w:r w:rsidR="006C1ECB" w:rsidRPr="006C1ECB">
        <w:rPr>
          <w:color w:val="000000" w:themeColor="text1"/>
          <w:sz w:val="20"/>
          <w:szCs w:val="20"/>
          <w:lang w:val="en-US"/>
        </w:rPr>
        <w:t>dB.</w:t>
      </w:r>
      <w:proofErr w:type="spellEnd"/>
      <w:r w:rsidR="006C1ECB" w:rsidRPr="006C1ECB">
        <w:rPr>
          <w:color w:val="000000" w:themeColor="text1"/>
          <w:sz w:val="20"/>
          <w:szCs w:val="20"/>
          <w:lang w:val="en-US"/>
        </w:rPr>
        <w:t xml:space="preserve"> In practice, the path loss difference would be even greater for sub-optimal choices of CC2 since the network would not always optimally select the </w:t>
      </w:r>
      <w:proofErr w:type="spellStart"/>
      <w:r w:rsidR="006C1ECB" w:rsidRPr="006C1ECB">
        <w:rPr>
          <w:color w:val="000000" w:themeColor="text1"/>
          <w:sz w:val="20"/>
          <w:szCs w:val="20"/>
          <w:lang w:val="en-US"/>
        </w:rPr>
        <w:t>gNB</w:t>
      </w:r>
      <w:proofErr w:type="spellEnd"/>
      <w:r w:rsidR="006C1ECB" w:rsidRPr="006C1ECB">
        <w:rPr>
          <w:color w:val="000000" w:themeColor="text1"/>
          <w:sz w:val="20"/>
          <w:szCs w:val="20"/>
          <w:lang w:val="en-US"/>
        </w:rPr>
        <w:t xml:space="preserve"> site for CC2.</w:t>
      </w:r>
      <w:r w:rsidR="006C1ECB">
        <w:rPr>
          <w:color w:val="000000" w:themeColor="text1"/>
          <w:sz w:val="20"/>
          <w:szCs w:val="20"/>
          <w:lang w:val="en-US"/>
        </w:rPr>
        <w:t xml:space="preserve"> Th</w:t>
      </w:r>
      <w:r w:rsidR="00AF35C3">
        <w:rPr>
          <w:color w:val="000000" w:themeColor="text1"/>
          <w:sz w:val="20"/>
          <w:szCs w:val="20"/>
          <w:lang w:val="en-US"/>
        </w:rPr>
        <w:t>is</w:t>
      </w:r>
      <w:r w:rsidR="006C1ECB">
        <w:rPr>
          <w:color w:val="000000" w:themeColor="text1"/>
          <w:sz w:val="20"/>
          <w:szCs w:val="20"/>
          <w:lang w:val="en-US"/>
        </w:rPr>
        <w:t xml:space="preserve"> result</w:t>
      </w:r>
      <w:r w:rsidR="00AF35C3">
        <w:rPr>
          <w:color w:val="000000" w:themeColor="text1"/>
          <w:sz w:val="20"/>
          <w:szCs w:val="20"/>
          <w:lang w:val="en-US"/>
        </w:rPr>
        <w:t xml:space="preserve"> </w:t>
      </w:r>
      <w:r w:rsidR="006C1ECB">
        <w:rPr>
          <w:color w:val="000000" w:themeColor="text1"/>
          <w:sz w:val="20"/>
          <w:szCs w:val="20"/>
          <w:lang w:val="en-US"/>
        </w:rPr>
        <w:t>prove</w:t>
      </w:r>
      <w:r w:rsidR="00AF35C3">
        <w:rPr>
          <w:color w:val="000000" w:themeColor="text1"/>
          <w:sz w:val="20"/>
          <w:szCs w:val="20"/>
          <w:lang w:val="en-US"/>
        </w:rPr>
        <w:t>s</w:t>
      </w:r>
      <w:r w:rsidR="006C1ECB">
        <w:rPr>
          <w:color w:val="000000" w:themeColor="text1"/>
          <w:sz w:val="20"/>
          <w:szCs w:val="20"/>
          <w:lang w:val="en-US"/>
        </w:rPr>
        <w:t xml:space="preserve"> that </w:t>
      </w:r>
      <w:r w:rsidRPr="00AA437A">
        <w:rPr>
          <w:color w:val="000000" w:themeColor="text1"/>
          <w:sz w:val="20"/>
          <w:szCs w:val="20"/>
          <w:lang w:val="en-US"/>
        </w:rPr>
        <w:t>for the scenario</w:t>
      </w:r>
      <w:r w:rsidR="00AF35C3">
        <w:rPr>
          <w:color w:val="000000" w:themeColor="text1"/>
          <w:sz w:val="20"/>
          <w:szCs w:val="20"/>
          <w:lang w:val="en-US"/>
        </w:rPr>
        <w:t xml:space="preserve">, </w:t>
      </w:r>
      <w:r w:rsidRPr="00AA437A">
        <w:rPr>
          <w:color w:val="000000" w:themeColor="text1"/>
          <w:sz w:val="20"/>
          <w:szCs w:val="20"/>
          <w:lang w:val="en-US"/>
        </w:rPr>
        <w:t xml:space="preserve">with distributed </w:t>
      </w:r>
      <w:proofErr w:type="spellStart"/>
      <w:r w:rsidRPr="00AA437A">
        <w:rPr>
          <w:color w:val="000000" w:themeColor="text1"/>
          <w:sz w:val="20"/>
          <w:szCs w:val="20"/>
          <w:lang w:val="en-US"/>
        </w:rPr>
        <w:t>gNBs</w:t>
      </w:r>
      <w:proofErr w:type="spellEnd"/>
      <w:r w:rsidRPr="00AA437A">
        <w:rPr>
          <w:color w:val="000000" w:themeColor="text1"/>
          <w:sz w:val="20"/>
          <w:szCs w:val="20"/>
          <w:lang w:val="en-US"/>
        </w:rPr>
        <w:t xml:space="preserve"> </w:t>
      </w:r>
      <w:r w:rsidR="006C1ECB">
        <w:rPr>
          <w:color w:val="000000" w:themeColor="text1"/>
          <w:sz w:val="20"/>
          <w:szCs w:val="20"/>
          <w:lang w:val="en-US"/>
        </w:rPr>
        <w:t xml:space="preserve">when considering CBM, </w:t>
      </w:r>
      <w:r w:rsidRPr="00AA437A">
        <w:rPr>
          <w:color w:val="000000" w:themeColor="text1"/>
          <w:sz w:val="20"/>
          <w:szCs w:val="20"/>
          <w:lang w:val="en-US"/>
        </w:rPr>
        <w:t xml:space="preserve">CA </w:t>
      </w:r>
      <w:r w:rsidRPr="00AF35C3">
        <w:rPr>
          <w:color w:val="000000" w:themeColor="text1"/>
          <w:sz w:val="20"/>
          <w:szCs w:val="20"/>
          <w:lang w:val="en-US"/>
        </w:rPr>
        <w:t>deployment</w:t>
      </w:r>
      <w:r w:rsidR="00F72CCC" w:rsidRPr="00AF35C3">
        <w:rPr>
          <w:sz w:val="20"/>
          <w:szCs w:val="20"/>
          <w:lang w:val="en-US"/>
        </w:rPr>
        <w:t xml:space="preserve"> </w:t>
      </w:r>
      <w:r w:rsidR="00AF35C3" w:rsidRPr="00AF35C3">
        <w:rPr>
          <w:sz w:val="20"/>
          <w:szCs w:val="20"/>
          <w:lang w:val="en-US"/>
        </w:rPr>
        <w:t xml:space="preserve">is not possible </w:t>
      </w:r>
      <w:r w:rsidR="00F72CCC" w:rsidRPr="00AF35C3">
        <w:rPr>
          <w:sz w:val="20"/>
          <w:szCs w:val="20"/>
          <w:lang w:val="en-US"/>
        </w:rPr>
        <w:t xml:space="preserve">due to </w:t>
      </w:r>
      <w:r w:rsidR="00F72CCC" w:rsidRPr="00AF35C3">
        <w:rPr>
          <w:color w:val="000000" w:themeColor="text1"/>
          <w:sz w:val="20"/>
          <w:szCs w:val="20"/>
          <w:lang w:val="en-US"/>
        </w:rPr>
        <w:t>the large</w:t>
      </w:r>
      <w:r w:rsidR="00F72CCC" w:rsidRPr="00AA437A">
        <w:rPr>
          <w:color w:val="000000" w:themeColor="text1"/>
          <w:sz w:val="20"/>
          <w:szCs w:val="20"/>
          <w:lang w:val="en-US"/>
        </w:rPr>
        <w:t xml:space="preserve"> path loss difference between CC1 and CC2</w:t>
      </w:r>
      <w:r w:rsidR="00F72CCC">
        <w:rPr>
          <w:color w:val="000000" w:themeColor="text1"/>
          <w:sz w:val="20"/>
          <w:szCs w:val="20"/>
          <w:lang w:val="en-US"/>
        </w:rPr>
        <w:t xml:space="preserve">. </w:t>
      </w:r>
      <w:r w:rsidR="008F0165">
        <w:rPr>
          <w:sz w:val="20"/>
          <w:szCs w:val="20"/>
          <w:lang w:val="en-US"/>
        </w:rPr>
        <w:t xml:space="preserve">Additionally, </w:t>
      </w:r>
      <w:r w:rsidR="00D67DE5">
        <w:rPr>
          <w:sz w:val="20"/>
          <w:szCs w:val="20"/>
          <w:lang w:val="en-US"/>
        </w:rPr>
        <w:t xml:space="preserve">the same Rx/Tx chain will be shared for all bands within the same band group, making only possible the support of CBM for 28 GHz + 28 GHz. </w:t>
      </w:r>
      <w:r w:rsidR="00D67DE5">
        <w:rPr>
          <w:color w:val="000000"/>
          <w:sz w:val="20"/>
          <w:szCs w:val="20"/>
          <w:lang w:val="en-US"/>
        </w:rPr>
        <w:t>Therefore,</w:t>
      </w:r>
      <w:r w:rsidR="00D67DE5">
        <w:rPr>
          <w:color w:val="000000" w:themeColor="text1"/>
          <w:sz w:val="20"/>
          <w:szCs w:val="20"/>
          <w:lang w:val="en-US"/>
        </w:rPr>
        <w:t xml:space="preserve"> the assumption for the beam management in </w:t>
      </w:r>
      <w:r w:rsidR="00D67DE5" w:rsidRPr="00F72CCC">
        <w:rPr>
          <w:sz w:val="20"/>
          <w:szCs w:val="20"/>
          <w:lang w:val="en-US"/>
        </w:rPr>
        <w:t xml:space="preserve">RAN4 for inter-band CA </w:t>
      </w:r>
      <w:r w:rsidR="00D67DE5">
        <w:rPr>
          <w:sz w:val="20"/>
          <w:szCs w:val="20"/>
          <w:lang w:val="en-US"/>
        </w:rPr>
        <w:t>28 GHz + 28 GHz shall be</w:t>
      </w:r>
      <w:r w:rsidR="00D67DE5" w:rsidRPr="00F72CCC">
        <w:rPr>
          <w:sz w:val="20"/>
          <w:szCs w:val="20"/>
          <w:lang w:val="en-US"/>
        </w:rPr>
        <w:t xml:space="preserve"> CBM</w:t>
      </w:r>
      <w:r w:rsidR="00D67DE5">
        <w:rPr>
          <w:sz w:val="20"/>
          <w:szCs w:val="20"/>
          <w:lang w:val="en-US"/>
        </w:rPr>
        <w:t xml:space="preserve"> only.</w:t>
      </w:r>
      <w:r w:rsidR="007F3BEB">
        <w:rPr>
          <w:sz w:val="20"/>
          <w:szCs w:val="20"/>
          <w:lang w:val="en-US"/>
        </w:rPr>
        <w:br/>
      </w:r>
    </w:p>
    <w:p w14:paraId="577AB391" w14:textId="57FA8F91" w:rsidR="007F3BEB" w:rsidRDefault="00327EB1" w:rsidP="007F3BEB">
      <w:pPr>
        <w:pStyle w:val="TOC1"/>
        <w:rPr>
          <w:color w:val="000000" w:themeColor="text1"/>
          <w:lang w:val="en-US"/>
        </w:rPr>
      </w:pPr>
      <w:r>
        <w:t xml:space="preserve">Proposal </w:t>
      </w:r>
      <w:r w:rsidR="007F3BEB">
        <w:t>2:</w:t>
      </w:r>
      <w:r w:rsidR="007F3BEB">
        <w:tab/>
      </w:r>
      <w:r w:rsidR="007F3BEB">
        <w:rPr>
          <w:color w:val="000000" w:themeColor="text1"/>
          <w:lang w:val="en-US"/>
        </w:rPr>
        <w:t xml:space="preserve">The beam management </w:t>
      </w:r>
      <w:r w:rsidR="00C868CC">
        <w:rPr>
          <w:color w:val="000000" w:themeColor="text1"/>
          <w:lang w:val="en-US"/>
        </w:rPr>
        <w:t xml:space="preserve">assumption </w:t>
      </w:r>
      <w:r w:rsidR="007F3BEB">
        <w:rPr>
          <w:color w:val="000000" w:themeColor="text1"/>
          <w:lang w:val="en-US"/>
        </w:rPr>
        <w:t xml:space="preserve">for inter-band CA </w:t>
      </w:r>
      <w:r w:rsidR="00046668">
        <w:rPr>
          <w:lang w:val="en-US"/>
        </w:rPr>
        <w:t xml:space="preserve">28 GHz + 28 GHz </w:t>
      </w:r>
      <w:r w:rsidR="007F3BEB">
        <w:rPr>
          <w:color w:val="000000" w:themeColor="text1"/>
          <w:lang w:val="en-US"/>
        </w:rPr>
        <w:t>shall be CBM only.</w:t>
      </w:r>
    </w:p>
    <w:p w14:paraId="433FACF9" w14:textId="77777777" w:rsidR="00032013" w:rsidRDefault="00032013" w:rsidP="00D63693">
      <w:pPr>
        <w:rPr>
          <w:b/>
          <w:bCs/>
          <w:u w:val="single"/>
        </w:rPr>
      </w:pPr>
    </w:p>
    <w:p w14:paraId="00308423" w14:textId="69F9E37F" w:rsidR="00D63693" w:rsidRPr="00D63693" w:rsidRDefault="00D63693" w:rsidP="00D63693">
      <w:pPr>
        <w:rPr>
          <w:b/>
          <w:bCs/>
          <w:u w:val="single"/>
        </w:rPr>
      </w:pPr>
      <w:r w:rsidRPr="00D63693">
        <w:rPr>
          <w:b/>
          <w:bCs/>
          <w:u w:val="single"/>
        </w:rPr>
        <w:lastRenderedPageBreak/>
        <w:t xml:space="preserve">For 39 GHz + 39 GHz band </w:t>
      </w:r>
      <w:r w:rsidR="00FA4489">
        <w:rPr>
          <w:b/>
          <w:bCs/>
          <w:u w:val="single"/>
        </w:rPr>
        <w:t>pairs</w:t>
      </w:r>
      <w:r w:rsidRPr="00D63693">
        <w:rPr>
          <w:b/>
          <w:bCs/>
          <w:u w:val="single"/>
        </w:rPr>
        <w:t>:</w:t>
      </w:r>
    </w:p>
    <w:p w14:paraId="6D7CBF72" w14:textId="4E95BC28" w:rsidR="008F5FF0" w:rsidRDefault="00FA4489" w:rsidP="00C827F9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In the</w:t>
      </w:r>
      <w:r w:rsidR="008F5FF0">
        <w:rPr>
          <w:color w:val="000000" w:themeColor="text1"/>
          <w:sz w:val="20"/>
          <w:szCs w:val="20"/>
          <w:lang w:val="en-US"/>
        </w:rPr>
        <w:t xml:space="preserve"> RAN4#91 meeting report [</w:t>
      </w:r>
      <w:r w:rsidR="00AA437A">
        <w:rPr>
          <w:color w:val="000000" w:themeColor="text1"/>
          <w:sz w:val="20"/>
          <w:szCs w:val="20"/>
          <w:lang w:val="en-US"/>
        </w:rPr>
        <w:t>3</w:t>
      </w:r>
      <w:r w:rsidR="008F5FF0">
        <w:rPr>
          <w:color w:val="000000" w:themeColor="text1"/>
          <w:sz w:val="20"/>
          <w:szCs w:val="20"/>
          <w:lang w:val="en-US"/>
        </w:rPr>
        <w:t>]</w:t>
      </w:r>
      <w:r>
        <w:rPr>
          <w:color w:val="000000" w:themeColor="text1"/>
          <w:sz w:val="20"/>
          <w:szCs w:val="20"/>
          <w:lang w:val="en-US"/>
        </w:rPr>
        <w:t xml:space="preserve">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A4489" w14:paraId="3569AF0E" w14:textId="77777777" w:rsidTr="00FA4489">
        <w:tc>
          <w:tcPr>
            <w:tcW w:w="9631" w:type="dxa"/>
          </w:tcPr>
          <w:p w14:paraId="2F309412" w14:textId="31082ED5" w:rsidR="00FA4489" w:rsidRPr="0022228A" w:rsidRDefault="00FA4489" w:rsidP="00FA4489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br/>
            </w:r>
            <w:r w:rsidRPr="0022228A">
              <w:rPr>
                <w:b/>
                <w:bCs/>
                <w:highlight w:val="green"/>
              </w:rPr>
              <w:t xml:space="preserve">Agreement: </w:t>
            </w:r>
          </w:p>
          <w:p w14:paraId="75AD40CA" w14:textId="77777777" w:rsidR="00FA4489" w:rsidRPr="008F5FF0" w:rsidRDefault="00FA4489" w:rsidP="00FA4489">
            <w:pPr>
              <w:pStyle w:val="ListParagraph"/>
              <w:numPr>
                <w:ilvl w:val="0"/>
                <w:numId w:val="24"/>
              </w:numPr>
              <w:rPr>
                <w:lang w:val="en-GB" w:eastAsia="ko-KR"/>
              </w:rPr>
            </w:pPr>
            <w:r w:rsidRPr="008F5FF0">
              <w:rPr>
                <w:lang w:val="en-GB" w:eastAsia="ko-KR"/>
              </w:rPr>
              <w:t>Band plan for n259 is 39.5GHz – 43.5GHz</w:t>
            </w:r>
          </w:p>
          <w:p w14:paraId="129B85D0" w14:textId="77777777" w:rsidR="00FA4489" w:rsidRPr="008F5FF0" w:rsidRDefault="00FA4489" w:rsidP="00FA4489">
            <w:pPr>
              <w:pStyle w:val="ListParagraph"/>
              <w:numPr>
                <w:ilvl w:val="0"/>
                <w:numId w:val="24"/>
              </w:numPr>
              <w:rPr>
                <w:lang w:val="en-GB" w:eastAsia="ko-KR"/>
              </w:rPr>
            </w:pPr>
            <w:r w:rsidRPr="008F5FF0">
              <w:rPr>
                <w:lang w:val="en-GB" w:eastAsia="ko-KR"/>
              </w:rPr>
              <w:t xml:space="preserve">Intra-band CA requirements shall apply for inter-band CA configurations between n260 and n259 including intra-band capabilities.   </w:t>
            </w:r>
          </w:p>
          <w:p w14:paraId="73693CEC" w14:textId="77777777" w:rsidR="00FA4489" w:rsidRPr="008F5FF0" w:rsidRDefault="00FA4489" w:rsidP="00FA4489">
            <w:pPr>
              <w:pStyle w:val="ListParagraph"/>
              <w:numPr>
                <w:ilvl w:val="0"/>
                <w:numId w:val="24"/>
              </w:numPr>
              <w:rPr>
                <w:lang w:val="en-GB" w:eastAsia="ko-KR"/>
              </w:rPr>
            </w:pPr>
            <w:r w:rsidRPr="008F5FF0">
              <w:rPr>
                <w:lang w:val="en-GB" w:eastAsia="ko-KR"/>
              </w:rPr>
              <w:t xml:space="preserve">Requirements for single band n259 and associated multiband requirements shall be agreed as a single CR pack for n259 WI. </w:t>
            </w:r>
          </w:p>
          <w:p w14:paraId="27532B10" w14:textId="77777777" w:rsidR="00FA4489" w:rsidRDefault="00FA4489" w:rsidP="00FA4489">
            <w:pPr>
              <w:pStyle w:val="ListParagraph"/>
              <w:numPr>
                <w:ilvl w:val="0"/>
                <w:numId w:val="24"/>
              </w:numPr>
              <w:rPr>
                <w:lang w:val="en-GB" w:eastAsia="ko-KR"/>
              </w:rPr>
            </w:pPr>
            <w:r w:rsidRPr="008F5FF0">
              <w:rPr>
                <w:lang w:val="en-GB" w:eastAsia="ko-KR"/>
              </w:rPr>
              <w:t xml:space="preserve">The scope of the multiband requirements shall be further discussed. </w:t>
            </w:r>
          </w:p>
          <w:p w14:paraId="47702C8B" w14:textId="77777777" w:rsidR="00FA4489" w:rsidRPr="00FA4489" w:rsidRDefault="00FA4489" w:rsidP="00C827F9">
            <w:pPr>
              <w:pStyle w:val="NormalWeb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B990472" w14:textId="2A071F74" w:rsidR="00032013" w:rsidRDefault="0022017B" w:rsidP="00D63693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One of the</w:t>
      </w:r>
      <w:r w:rsidR="00D63693">
        <w:rPr>
          <w:color w:val="000000" w:themeColor="text1"/>
          <w:sz w:val="20"/>
          <w:szCs w:val="20"/>
          <w:lang w:val="en-US"/>
        </w:rPr>
        <w:t xml:space="preserve"> agreement</w:t>
      </w:r>
      <w:r>
        <w:rPr>
          <w:color w:val="000000" w:themeColor="text1"/>
          <w:sz w:val="20"/>
          <w:szCs w:val="20"/>
          <w:lang w:val="en-US"/>
        </w:rPr>
        <w:t>s written in the meeting report was that</w:t>
      </w:r>
      <w:r w:rsidRPr="0022017B">
        <w:rPr>
          <w:color w:val="000000" w:themeColor="text1"/>
          <w:sz w:val="20"/>
          <w:szCs w:val="20"/>
          <w:lang w:val="en-US"/>
        </w:rPr>
        <w:t xml:space="preserve"> </w:t>
      </w:r>
      <w:r>
        <w:rPr>
          <w:color w:val="000000" w:themeColor="text1"/>
          <w:sz w:val="20"/>
          <w:szCs w:val="20"/>
          <w:lang w:val="en-US"/>
        </w:rPr>
        <w:t>intra-band CA requirement shall apply</w:t>
      </w:r>
      <w:r w:rsidR="00D63693">
        <w:rPr>
          <w:color w:val="000000" w:themeColor="text1"/>
          <w:sz w:val="20"/>
          <w:szCs w:val="20"/>
          <w:lang w:val="en-US"/>
        </w:rPr>
        <w:t xml:space="preserve"> for inter-band CA between n260 and n259 (39 + 39 GHz) band pair</w:t>
      </w:r>
      <w:r>
        <w:rPr>
          <w:color w:val="000000" w:themeColor="text1"/>
          <w:sz w:val="20"/>
          <w:szCs w:val="20"/>
          <w:lang w:val="en-US"/>
        </w:rPr>
        <w:t xml:space="preserve">. </w:t>
      </w:r>
      <w:r w:rsidR="00F473C8">
        <w:rPr>
          <w:color w:val="000000" w:themeColor="text1"/>
          <w:sz w:val="20"/>
          <w:szCs w:val="20"/>
          <w:lang w:val="en-US"/>
        </w:rPr>
        <w:t xml:space="preserve"> Since the intra-band CA requirement shall apply for 39 + 39 GHz, we can conclude that the assumption for the beam management for </w:t>
      </w:r>
      <w:r w:rsidR="007F3BEB">
        <w:rPr>
          <w:color w:val="000000" w:themeColor="text1"/>
          <w:sz w:val="20"/>
          <w:szCs w:val="20"/>
          <w:lang w:val="en-US"/>
        </w:rPr>
        <w:t xml:space="preserve">inter-band CA </w:t>
      </w:r>
      <w:r w:rsidR="00327EB1">
        <w:rPr>
          <w:color w:val="000000" w:themeColor="text1"/>
          <w:sz w:val="20"/>
          <w:szCs w:val="20"/>
          <w:lang w:val="en-US"/>
        </w:rPr>
        <w:t>39 GHz + 39 GHz</w:t>
      </w:r>
      <w:r w:rsidR="00F473C8">
        <w:rPr>
          <w:color w:val="000000" w:themeColor="text1"/>
          <w:sz w:val="20"/>
          <w:szCs w:val="20"/>
          <w:lang w:val="en-US"/>
        </w:rPr>
        <w:t xml:space="preserve"> is CBM</w:t>
      </w:r>
      <w:r w:rsidR="00327EB1">
        <w:rPr>
          <w:color w:val="000000" w:themeColor="text1"/>
          <w:sz w:val="20"/>
          <w:szCs w:val="20"/>
          <w:lang w:val="en-US"/>
        </w:rPr>
        <w:t>.</w:t>
      </w:r>
    </w:p>
    <w:p w14:paraId="191F7781" w14:textId="4FCDA328" w:rsidR="00777D73" w:rsidRDefault="00777D73" w:rsidP="00777D73">
      <w:pPr>
        <w:pStyle w:val="TOC1"/>
        <w:rPr>
          <w:color w:val="000000" w:themeColor="text1"/>
          <w:lang w:val="en-US"/>
        </w:rPr>
      </w:pPr>
      <w:r>
        <w:t>Proposal 3:</w:t>
      </w:r>
      <w:r>
        <w:tab/>
      </w:r>
      <w:r>
        <w:rPr>
          <w:color w:val="000000" w:themeColor="text1"/>
          <w:lang w:val="en-US"/>
        </w:rPr>
        <w:t>The beam management assumption for inter-band CA 39 GHz + 39 GHz</w:t>
      </w:r>
      <w:r w:rsidDel="00327EB1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is CBM only.</w:t>
      </w:r>
    </w:p>
    <w:p w14:paraId="5A7AE67F" w14:textId="02DD0095" w:rsidR="00D63693" w:rsidRDefault="00032013" w:rsidP="00032013">
      <w:pPr>
        <w:pStyle w:val="TOC1"/>
      </w:pPr>
      <w:r>
        <w:t xml:space="preserve">Proposal </w:t>
      </w:r>
      <w:r w:rsidR="00777D73">
        <w:t>4</w:t>
      </w:r>
      <w:r>
        <w:t>:</w:t>
      </w:r>
      <w:r>
        <w:tab/>
      </w:r>
      <w:r>
        <w:rPr>
          <w:color w:val="000000" w:themeColor="text1"/>
          <w:lang w:val="en-US"/>
        </w:rPr>
        <w:t>For</w:t>
      </w:r>
      <w:r>
        <w:t xml:space="preserve"> intra-band CA, the beam management assumption is CBM only.</w:t>
      </w:r>
    </w:p>
    <w:p w14:paraId="0F4EE26B" w14:textId="51769D39" w:rsidR="00564329" w:rsidRPr="00564329" w:rsidRDefault="00F473C8" w:rsidP="00564329">
      <w:pPr>
        <w:spacing w:after="0"/>
        <w:rPr>
          <w:lang w:val="en-DE" w:eastAsia="en-GB"/>
        </w:rPr>
      </w:pPr>
      <w:r>
        <w:rPr>
          <w:lang w:eastAsia="ko-KR"/>
        </w:rPr>
        <w:t xml:space="preserve">To summarize, </w:t>
      </w:r>
      <w:r w:rsidR="00EA5922">
        <w:rPr>
          <w:lang w:eastAsia="ko-KR"/>
        </w:rPr>
        <w:t xml:space="preserve">in this contribution </w:t>
      </w:r>
      <w:r>
        <w:rPr>
          <w:lang w:eastAsia="ko-KR"/>
        </w:rPr>
        <w:t xml:space="preserve">we have explained how there is </w:t>
      </w:r>
      <w:r w:rsidR="00EA5922">
        <w:rPr>
          <w:lang w:eastAsia="ko-KR"/>
        </w:rPr>
        <w:t xml:space="preserve">an </w:t>
      </w:r>
      <w:r>
        <w:rPr>
          <w:lang w:eastAsia="ko-KR"/>
        </w:rPr>
        <w:t xml:space="preserve">explicit division between the band pairs </w:t>
      </w:r>
      <w:r w:rsidR="00F61EB9">
        <w:rPr>
          <w:lang w:eastAsia="ko-KR"/>
        </w:rPr>
        <w:t xml:space="preserve">28 GHz + 28 GHz, 39 GHz + 39 GHz </w:t>
      </w:r>
      <w:r>
        <w:rPr>
          <w:lang w:eastAsia="ko-KR"/>
        </w:rPr>
        <w:t xml:space="preserve">and </w:t>
      </w:r>
      <w:r w:rsidR="00F61EB9">
        <w:rPr>
          <w:lang w:eastAsia="ko-KR"/>
        </w:rPr>
        <w:t xml:space="preserve">28 GHz + 39 GHz </w:t>
      </w:r>
      <w:r>
        <w:rPr>
          <w:lang w:eastAsia="ko-KR"/>
        </w:rPr>
        <w:t xml:space="preserve">in terms of IBM/CBM. Therefore, in our view the introduction of a </w:t>
      </w:r>
      <w:r w:rsidR="00FA5857">
        <w:rPr>
          <w:lang w:eastAsia="ko-KR"/>
        </w:rPr>
        <w:t xml:space="preserve">capability to distinguish between </w:t>
      </w:r>
      <w:r>
        <w:rPr>
          <w:lang w:eastAsia="ko-KR"/>
        </w:rPr>
        <w:t>IBM/CBM</w:t>
      </w:r>
      <w:r w:rsidR="00FA5857">
        <w:rPr>
          <w:lang w:eastAsia="ko-KR"/>
        </w:rPr>
        <w:t xml:space="preserve"> band pairs</w:t>
      </w:r>
      <w:r>
        <w:rPr>
          <w:lang w:eastAsia="ko-KR"/>
        </w:rPr>
        <w:t xml:space="preserve"> is not necessary</w:t>
      </w:r>
      <w:r w:rsidR="00F33D39">
        <w:rPr>
          <w:lang w:eastAsia="ko-KR"/>
        </w:rPr>
        <w:t xml:space="preserve">, RAN 4 </w:t>
      </w:r>
      <w:r w:rsidR="003177B7">
        <w:rPr>
          <w:lang w:eastAsia="ko-KR"/>
        </w:rPr>
        <w:t>shall</w:t>
      </w:r>
      <w:r w:rsidR="00F33D39">
        <w:rPr>
          <w:lang w:eastAsia="ko-KR"/>
        </w:rPr>
        <w:t xml:space="preserve"> define the </w:t>
      </w:r>
      <w:r>
        <w:rPr>
          <w:lang w:eastAsia="ko-KR"/>
        </w:rPr>
        <w:t xml:space="preserve">band </w:t>
      </w:r>
      <w:r w:rsidR="00F33D39">
        <w:rPr>
          <w:lang w:eastAsia="ko-KR"/>
        </w:rPr>
        <w:t>combinations as CBM/IBM in the specification.</w:t>
      </w:r>
    </w:p>
    <w:p w14:paraId="0D5C6B60" w14:textId="6050E482" w:rsidR="00562E96" w:rsidRPr="00564329" w:rsidRDefault="00562E96" w:rsidP="00F473C8">
      <w:pPr>
        <w:rPr>
          <w:lang w:val="en-DE"/>
        </w:rPr>
      </w:pPr>
    </w:p>
    <w:p w14:paraId="4345719A" w14:textId="5A0FE80E" w:rsidR="00564329" w:rsidRDefault="00564329" w:rsidP="00F33D39">
      <w:pPr>
        <w:pStyle w:val="TOC1"/>
      </w:pPr>
      <w:r>
        <w:t>Observation 1:</w:t>
      </w:r>
      <w:r>
        <w:tab/>
      </w:r>
      <w:r>
        <w:rPr>
          <w:color w:val="000000" w:themeColor="text1"/>
          <w:lang w:val="en-US"/>
        </w:rPr>
        <w:t>In our view the introduction of a capability to distinguish between IBM/CBM band pairs is not necessary</w:t>
      </w:r>
    </w:p>
    <w:p w14:paraId="05BB0826" w14:textId="1B533776" w:rsidR="00D63693" w:rsidRDefault="00D55A42" w:rsidP="00D63693">
      <w:pPr>
        <w:pStyle w:val="Proposal"/>
      </w:pPr>
      <w:bookmarkStart w:id="1" w:name="_Toc13823832"/>
      <w:bookmarkStart w:id="2" w:name="_Toc13821307"/>
      <w:bookmarkStart w:id="3" w:name="_Toc13823307"/>
      <w:r>
        <w:t xml:space="preserve">Proposal </w:t>
      </w:r>
      <w:r w:rsidR="00032013">
        <w:t>5</w:t>
      </w:r>
      <w:r>
        <w:t>:</w:t>
      </w:r>
      <w:r>
        <w:tab/>
      </w:r>
      <w:bookmarkEnd w:id="1"/>
      <w:bookmarkEnd w:id="2"/>
      <w:bookmarkEnd w:id="3"/>
      <w:r w:rsidR="00264C5D">
        <w:t>RAN4 shall</w:t>
      </w:r>
      <w:r w:rsidR="00D63693">
        <w:t xml:space="preserve"> define the band </w:t>
      </w:r>
      <w:r w:rsidR="00F33D39">
        <w:t xml:space="preserve">combinations as CBM/IBM in </w:t>
      </w:r>
      <w:r w:rsidR="00D63693">
        <w:t>the specification.</w:t>
      </w:r>
    </w:p>
    <w:p w14:paraId="3E77CBBD" w14:textId="24421AD4" w:rsidR="00C26EFB" w:rsidRDefault="00BE5445" w:rsidP="00F61EB9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We </w:t>
      </w:r>
      <w:r w:rsidR="00AA6C99">
        <w:rPr>
          <w:color w:val="000000" w:themeColor="text1"/>
          <w:sz w:val="20"/>
          <w:szCs w:val="20"/>
          <w:lang w:val="en-US"/>
        </w:rPr>
        <w:t>have distinguished</w:t>
      </w:r>
      <w:r>
        <w:rPr>
          <w:color w:val="000000" w:themeColor="text1"/>
          <w:sz w:val="20"/>
          <w:szCs w:val="20"/>
          <w:lang w:val="en-US"/>
        </w:rPr>
        <w:t xml:space="preserve"> </w:t>
      </w:r>
      <w:r w:rsidR="00C26EFB">
        <w:rPr>
          <w:color w:val="000000" w:themeColor="text1"/>
          <w:sz w:val="20"/>
          <w:szCs w:val="20"/>
          <w:lang w:val="en-US"/>
        </w:rPr>
        <w:t xml:space="preserve">two </w:t>
      </w:r>
      <w:r w:rsidR="00AA6C99">
        <w:rPr>
          <w:color w:val="000000" w:themeColor="text1"/>
          <w:sz w:val="20"/>
          <w:szCs w:val="20"/>
          <w:lang w:val="en-US"/>
        </w:rPr>
        <w:t xml:space="preserve">possible </w:t>
      </w:r>
      <w:r w:rsidR="00C26EFB">
        <w:rPr>
          <w:color w:val="000000" w:themeColor="text1"/>
          <w:sz w:val="20"/>
          <w:szCs w:val="20"/>
          <w:lang w:val="en-US"/>
        </w:rPr>
        <w:t xml:space="preserve">options on how to </w:t>
      </w:r>
      <w:r w:rsidR="00777D73">
        <w:rPr>
          <w:color w:val="000000" w:themeColor="text1"/>
          <w:sz w:val="20"/>
          <w:szCs w:val="20"/>
          <w:lang w:val="en-US"/>
        </w:rPr>
        <w:t>cap</w:t>
      </w:r>
      <w:r w:rsidR="00C26EFB">
        <w:rPr>
          <w:color w:val="000000" w:themeColor="text1"/>
          <w:sz w:val="20"/>
          <w:szCs w:val="20"/>
          <w:lang w:val="en-US"/>
        </w:rPr>
        <w:t xml:space="preserve">ture </w:t>
      </w:r>
      <w:r>
        <w:rPr>
          <w:color w:val="000000" w:themeColor="text1"/>
          <w:sz w:val="20"/>
          <w:szCs w:val="20"/>
          <w:lang w:val="en-US"/>
        </w:rPr>
        <w:t>the IBM/CBM band pairs in the specification</w:t>
      </w:r>
      <w:r w:rsidR="00C26EFB">
        <w:rPr>
          <w:color w:val="000000" w:themeColor="text1"/>
          <w:sz w:val="20"/>
          <w:szCs w:val="20"/>
          <w:lang w:val="en-US"/>
        </w:rPr>
        <w:t>:</w:t>
      </w:r>
    </w:p>
    <w:p w14:paraId="7E586C84" w14:textId="0F9AAD1C" w:rsidR="00C26EFB" w:rsidRDefault="00C26EFB" w:rsidP="00C26EFB">
      <w:pPr>
        <w:pStyle w:val="NormalWeb"/>
        <w:numPr>
          <w:ilvl w:val="0"/>
          <w:numId w:val="30"/>
        </w:num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>Option 1:</w:t>
      </w:r>
      <w:r w:rsidR="00BE5445">
        <w:rPr>
          <w:color w:val="000000" w:themeColor="text1"/>
          <w:sz w:val="20"/>
          <w:szCs w:val="20"/>
          <w:lang w:val="en-US"/>
        </w:rPr>
        <w:t xml:space="preserve"> </w:t>
      </w:r>
      <w:r w:rsidR="00D0198D">
        <w:rPr>
          <w:color w:val="000000" w:themeColor="text1"/>
          <w:sz w:val="20"/>
          <w:szCs w:val="20"/>
          <w:lang w:val="en-US"/>
        </w:rPr>
        <w:t xml:space="preserve">The </w:t>
      </w:r>
      <w:r w:rsidR="00F61EB9">
        <w:rPr>
          <w:color w:val="000000" w:themeColor="text1"/>
          <w:sz w:val="20"/>
          <w:szCs w:val="20"/>
          <w:lang w:val="en-US"/>
        </w:rPr>
        <w:t>beam management type assumption</w:t>
      </w:r>
      <w:r w:rsidR="00BE5445">
        <w:rPr>
          <w:color w:val="000000" w:themeColor="text1"/>
          <w:sz w:val="20"/>
          <w:szCs w:val="20"/>
          <w:lang w:val="en-US"/>
        </w:rPr>
        <w:t xml:space="preserve"> per band pair appears</w:t>
      </w:r>
      <w:r w:rsidR="00F61EB9" w:rsidRPr="00F61EB9">
        <w:rPr>
          <w:color w:val="000000" w:themeColor="text1"/>
          <w:sz w:val="20"/>
          <w:szCs w:val="20"/>
          <w:lang w:val="en-US"/>
        </w:rPr>
        <w:t xml:space="preserve"> </w:t>
      </w:r>
      <w:r w:rsidR="00BE5445">
        <w:rPr>
          <w:color w:val="000000" w:themeColor="text1"/>
          <w:sz w:val="20"/>
          <w:szCs w:val="20"/>
          <w:lang w:val="en-US"/>
        </w:rPr>
        <w:t xml:space="preserve">as </w:t>
      </w:r>
      <w:r w:rsidR="00F61EB9" w:rsidRPr="00F61EB9">
        <w:rPr>
          <w:color w:val="000000" w:themeColor="text1"/>
          <w:sz w:val="20"/>
          <w:szCs w:val="20"/>
          <w:lang w:val="en-US"/>
        </w:rPr>
        <w:t>a note</w:t>
      </w:r>
      <w:r>
        <w:rPr>
          <w:color w:val="000000" w:themeColor="text1"/>
          <w:sz w:val="20"/>
          <w:szCs w:val="20"/>
          <w:lang w:val="en-US"/>
        </w:rPr>
        <w:t xml:space="preserve"> on the bottom of</w:t>
      </w:r>
      <w:r w:rsidR="00F61EB9" w:rsidRPr="00F61EB9">
        <w:rPr>
          <w:color w:val="000000" w:themeColor="text1"/>
          <w:sz w:val="20"/>
          <w:szCs w:val="20"/>
          <w:lang w:val="en-US"/>
        </w:rPr>
        <w:t xml:space="preserve"> the CA configuration table</w:t>
      </w:r>
      <w:r>
        <w:rPr>
          <w:color w:val="000000" w:themeColor="text1"/>
          <w:sz w:val="20"/>
          <w:szCs w:val="20"/>
          <w:lang w:val="en-US"/>
        </w:rPr>
        <w:t xml:space="preserve">s in Clause 5.5 in the TS 38.101-2, that includes the configuration tables for intra-band contiguous and non-contiguous CA as well as for the inter-band CA table. </w:t>
      </w:r>
      <w:r w:rsidR="00815E53">
        <w:rPr>
          <w:color w:val="000000" w:themeColor="text1"/>
          <w:sz w:val="20"/>
          <w:szCs w:val="20"/>
          <w:lang w:val="en-US"/>
        </w:rPr>
        <w:t>For</w:t>
      </w:r>
      <w:r>
        <w:rPr>
          <w:color w:val="000000" w:themeColor="text1"/>
          <w:sz w:val="20"/>
          <w:szCs w:val="20"/>
          <w:lang w:val="en-US"/>
        </w:rPr>
        <w:t xml:space="preserve"> example</w:t>
      </w:r>
      <w:r w:rsidR="00815E53">
        <w:rPr>
          <w:color w:val="000000" w:themeColor="text1"/>
          <w:sz w:val="20"/>
          <w:szCs w:val="20"/>
          <w:lang w:val="en-US"/>
        </w:rPr>
        <w:t xml:space="preserve">, </w:t>
      </w:r>
      <w:r>
        <w:rPr>
          <w:color w:val="000000" w:themeColor="text1"/>
          <w:sz w:val="20"/>
          <w:szCs w:val="20"/>
          <w:lang w:val="en-US"/>
        </w:rPr>
        <w:t>for inter-band CA combination 28 GHz + 39 GHz the note can be written “Note 1: The beam management assumption is IBM”.  Similar note</w:t>
      </w:r>
      <w:r w:rsidR="000D0499">
        <w:rPr>
          <w:color w:val="000000" w:themeColor="text1"/>
          <w:sz w:val="20"/>
          <w:szCs w:val="20"/>
          <w:lang w:val="en-US"/>
        </w:rPr>
        <w:t xml:space="preserve">, </w:t>
      </w:r>
      <w:r w:rsidR="009D4BA3">
        <w:rPr>
          <w:color w:val="000000" w:themeColor="text1"/>
          <w:sz w:val="20"/>
          <w:szCs w:val="20"/>
          <w:lang w:val="en-US"/>
        </w:rPr>
        <w:t>considering CBM beam management</w:t>
      </w:r>
      <w:r w:rsidR="000D0499">
        <w:rPr>
          <w:color w:val="000000" w:themeColor="text1"/>
          <w:sz w:val="20"/>
          <w:szCs w:val="20"/>
          <w:lang w:val="en-US"/>
        </w:rPr>
        <w:t xml:space="preserve">, </w:t>
      </w:r>
      <w:r w:rsidR="00815E53">
        <w:rPr>
          <w:color w:val="000000" w:themeColor="text1"/>
          <w:sz w:val="20"/>
          <w:szCs w:val="20"/>
          <w:lang w:val="en-US"/>
        </w:rPr>
        <w:t xml:space="preserve">should apply </w:t>
      </w:r>
      <w:r>
        <w:rPr>
          <w:color w:val="000000" w:themeColor="text1"/>
          <w:sz w:val="20"/>
          <w:szCs w:val="20"/>
          <w:lang w:val="en-US"/>
        </w:rPr>
        <w:t>for 28 GHz + 28 GHz, 39 GHz + 39 GHz inter-band CA and intra-band CA</w:t>
      </w:r>
      <w:r w:rsidR="00815E53">
        <w:rPr>
          <w:color w:val="000000" w:themeColor="text1"/>
          <w:sz w:val="20"/>
          <w:szCs w:val="20"/>
          <w:lang w:val="en-US"/>
        </w:rPr>
        <w:t>.</w:t>
      </w:r>
    </w:p>
    <w:p w14:paraId="777C72B3" w14:textId="3940080A" w:rsidR="00BE5445" w:rsidRPr="00815E53" w:rsidRDefault="00C26EFB" w:rsidP="00F61EB9">
      <w:pPr>
        <w:pStyle w:val="NormalWeb"/>
        <w:numPr>
          <w:ilvl w:val="0"/>
          <w:numId w:val="30"/>
        </w:numPr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t xml:space="preserve">Option 2: </w:t>
      </w:r>
      <w:r w:rsidR="00D0198D">
        <w:rPr>
          <w:color w:val="000000" w:themeColor="text1"/>
          <w:sz w:val="20"/>
          <w:szCs w:val="20"/>
          <w:lang w:val="en-US"/>
        </w:rPr>
        <w:t>The beam management type assumption per band pair would be assigned to the band groups on a new table in the specification. Below we provide an example for the Beam Management Type</w:t>
      </w:r>
      <w:r w:rsidR="003A0858">
        <w:rPr>
          <w:color w:val="000000" w:themeColor="text1"/>
          <w:sz w:val="20"/>
          <w:szCs w:val="20"/>
          <w:lang w:val="en-US"/>
        </w:rPr>
        <w:t xml:space="preserve"> Table</w:t>
      </w:r>
      <w:r w:rsidR="00D0198D">
        <w:rPr>
          <w:color w:val="000000" w:themeColor="text1"/>
          <w:sz w:val="20"/>
          <w:szCs w:val="20"/>
          <w:lang w:val="en-US"/>
        </w:rPr>
        <w:t>:</w:t>
      </w:r>
      <w:r w:rsidR="00815E53">
        <w:rPr>
          <w:color w:val="000000" w:themeColor="text1"/>
          <w:sz w:val="20"/>
          <w:szCs w:val="20"/>
          <w:lang w:val="en-US"/>
        </w:rPr>
        <w:br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3057"/>
      </w:tblGrid>
      <w:tr w:rsidR="00BE5445" w14:paraId="415B6EB3" w14:textId="77777777" w:rsidTr="00815E53">
        <w:trPr>
          <w:trHeight w:val="290"/>
          <w:jc w:val="center"/>
        </w:trPr>
        <w:tc>
          <w:tcPr>
            <w:tcW w:w="3180" w:type="dxa"/>
            <w:shd w:val="clear" w:color="auto" w:fill="D0CECE" w:themeFill="background2" w:themeFillShade="E6"/>
          </w:tcPr>
          <w:p w14:paraId="2DCE2FE6" w14:textId="0E789100" w:rsidR="00BE5445" w:rsidRPr="00534D46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Band </w:t>
            </w:r>
            <w:r w:rsidR="00AA6C99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Groups</w:t>
            </w:r>
          </w:p>
        </w:tc>
        <w:tc>
          <w:tcPr>
            <w:tcW w:w="3057" w:type="dxa"/>
            <w:shd w:val="clear" w:color="auto" w:fill="D0CECE" w:themeFill="background2" w:themeFillShade="E6"/>
          </w:tcPr>
          <w:p w14:paraId="5A1060B9" w14:textId="240ADADC" w:rsidR="00BE5445" w:rsidRPr="00534D46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Beam Management Type</w:t>
            </w:r>
          </w:p>
        </w:tc>
      </w:tr>
      <w:tr w:rsidR="00BE5445" w14:paraId="3271AF26" w14:textId="77777777" w:rsidTr="00815E53">
        <w:trPr>
          <w:trHeight w:val="67"/>
          <w:jc w:val="center"/>
        </w:trPr>
        <w:tc>
          <w:tcPr>
            <w:tcW w:w="3180" w:type="dxa"/>
          </w:tcPr>
          <w:p w14:paraId="6BB2AC88" w14:textId="38BE2743" w:rsidR="00BE5445" w:rsidRPr="00534D46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28 GHz + 28 GHz</w:t>
            </w:r>
          </w:p>
        </w:tc>
        <w:tc>
          <w:tcPr>
            <w:tcW w:w="3057" w:type="dxa"/>
          </w:tcPr>
          <w:p w14:paraId="4091BFA3" w14:textId="6A95B710" w:rsidR="00BE5445" w:rsidRPr="00534D46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CBM</w:t>
            </w:r>
          </w:p>
        </w:tc>
      </w:tr>
      <w:tr w:rsidR="00D0198D" w14:paraId="36FB3875" w14:textId="77777777" w:rsidTr="00815E53">
        <w:trPr>
          <w:trHeight w:val="67"/>
          <w:jc w:val="center"/>
        </w:trPr>
        <w:tc>
          <w:tcPr>
            <w:tcW w:w="3180" w:type="dxa"/>
          </w:tcPr>
          <w:p w14:paraId="697A32CA" w14:textId="03F988D8" w:rsidR="00D0198D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39 GHz + 39 GHz</w:t>
            </w:r>
          </w:p>
        </w:tc>
        <w:tc>
          <w:tcPr>
            <w:tcW w:w="3057" w:type="dxa"/>
          </w:tcPr>
          <w:p w14:paraId="0FFB4E65" w14:textId="18BDA731" w:rsidR="00D0198D" w:rsidRPr="00534D46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CBM</w:t>
            </w:r>
          </w:p>
        </w:tc>
      </w:tr>
      <w:tr w:rsidR="00D0198D" w14:paraId="0CEB693B" w14:textId="77777777" w:rsidTr="00815E53">
        <w:trPr>
          <w:trHeight w:val="67"/>
          <w:jc w:val="center"/>
        </w:trPr>
        <w:tc>
          <w:tcPr>
            <w:tcW w:w="3180" w:type="dxa"/>
          </w:tcPr>
          <w:p w14:paraId="6ACE2B5B" w14:textId="3E1424E1" w:rsidR="00D0198D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28 GHz + 39 GHz</w:t>
            </w:r>
          </w:p>
        </w:tc>
        <w:tc>
          <w:tcPr>
            <w:tcW w:w="3057" w:type="dxa"/>
          </w:tcPr>
          <w:p w14:paraId="0262372D" w14:textId="1A8A5B70" w:rsidR="00D0198D" w:rsidRPr="00534D46" w:rsidRDefault="00D0198D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IBM</w:t>
            </w:r>
          </w:p>
        </w:tc>
      </w:tr>
      <w:tr w:rsidR="00F94074" w14:paraId="53B8C763" w14:textId="77777777" w:rsidTr="00815E53">
        <w:trPr>
          <w:trHeight w:val="67"/>
          <w:jc w:val="center"/>
        </w:trPr>
        <w:tc>
          <w:tcPr>
            <w:tcW w:w="3180" w:type="dxa"/>
          </w:tcPr>
          <w:p w14:paraId="11AB825A" w14:textId="4B3CDB7D" w:rsidR="00F94074" w:rsidRDefault="00F94074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Intra-band CA</w:t>
            </w:r>
          </w:p>
        </w:tc>
        <w:tc>
          <w:tcPr>
            <w:tcW w:w="3057" w:type="dxa"/>
          </w:tcPr>
          <w:p w14:paraId="7BB46CA4" w14:textId="79D8DDD5" w:rsidR="00F94074" w:rsidRDefault="00F94074" w:rsidP="00534D46">
            <w:pPr>
              <w:pStyle w:val="NormalWeb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CBM</w:t>
            </w:r>
          </w:p>
        </w:tc>
      </w:tr>
    </w:tbl>
    <w:p w14:paraId="5EF417A0" w14:textId="0EB6AAC7" w:rsidR="00AA6C99" w:rsidRDefault="00815E53" w:rsidP="00F61EB9">
      <w:pPr>
        <w:pStyle w:val="NormalWeb"/>
        <w:rPr>
          <w:color w:val="000000" w:themeColor="text1"/>
          <w:sz w:val="20"/>
          <w:szCs w:val="20"/>
          <w:lang w:val="en-US"/>
        </w:rPr>
      </w:pPr>
      <w:r>
        <w:rPr>
          <w:color w:val="000000" w:themeColor="text1"/>
          <w:sz w:val="20"/>
          <w:szCs w:val="20"/>
          <w:lang w:val="en-US"/>
        </w:rPr>
        <w:br/>
      </w:r>
      <w:r w:rsidR="00AA6C99">
        <w:rPr>
          <w:color w:val="000000" w:themeColor="text1"/>
          <w:sz w:val="20"/>
          <w:szCs w:val="20"/>
          <w:lang w:val="en-US"/>
        </w:rPr>
        <w:t xml:space="preserve">In our view Option 2 would be </w:t>
      </w:r>
      <w:r w:rsidR="005607F7">
        <w:rPr>
          <w:color w:val="000000" w:themeColor="text1"/>
          <w:sz w:val="20"/>
          <w:szCs w:val="20"/>
          <w:lang w:val="en-US"/>
        </w:rPr>
        <w:t>easier</w:t>
      </w:r>
      <w:r w:rsidR="00AA6C99">
        <w:rPr>
          <w:color w:val="000000" w:themeColor="text1"/>
          <w:sz w:val="20"/>
          <w:szCs w:val="20"/>
          <w:lang w:val="en-US"/>
        </w:rPr>
        <w:t xml:space="preserve"> to implement in the specification compared to Option 1. Clause 5.5 </w:t>
      </w:r>
      <w:r w:rsidR="001F6654">
        <w:rPr>
          <w:color w:val="000000" w:themeColor="text1"/>
          <w:sz w:val="20"/>
          <w:szCs w:val="20"/>
          <w:lang w:val="en-US"/>
        </w:rPr>
        <w:t xml:space="preserve">is divided into </w:t>
      </w:r>
      <w:r w:rsidR="00AA6C99">
        <w:rPr>
          <w:color w:val="000000" w:themeColor="text1"/>
          <w:sz w:val="20"/>
          <w:szCs w:val="20"/>
          <w:lang w:val="en-US"/>
        </w:rPr>
        <w:t>configuration tables between intra-band contiguous CA, intra-band non-contiguous CA, and inter-band CA</w:t>
      </w:r>
      <w:r w:rsidR="005607F7">
        <w:rPr>
          <w:color w:val="000000" w:themeColor="text1"/>
          <w:sz w:val="20"/>
          <w:szCs w:val="20"/>
          <w:lang w:val="en-US"/>
        </w:rPr>
        <w:t xml:space="preserve"> and</w:t>
      </w:r>
      <w:r w:rsidR="00AA6C99">
        <w:rPr>
          <w:color w:val="000000" w:themeColor="text1"/>
          <w:sz w:val="20"/>
          <w:szCs w:val="20"/>
          <w:lang w:val="en-US"/>
        </w:rPr>
        <w:t xml:space="preserve"> </w:t>
      </w:r>
      <w:r w:rsidR="005607F7">
        <w:rPr>
          <w:color w:val="000000" w:themeColor="text1"/>
          <w:sz w:val="20"/>
          <w:szCs w:val="20"/>
          <w:lang w:val="en-US"/>
        </w:rPr>
        <w:t>s</w:t>
      </w:r>
      <w:r w:rsidR="001F6654">
        <w:rPr>
          <w:color w:val="000000" w:themeColor="text1"/>
          <w:sz w:val="20"/>
          <w:szCs w:val="20"/>
          <w:lang w:val="en-US"/>
        </w:rPr>
        <w:t xml:space="preserve">ince the configuration </w:t>
      </w:r>
      <w:r w:rsidR="00AA6C99">
        <w:rPr>
          <w:color w:val="000000" w:themeColor="text1"/>
          <w:sz w:val="20"/>
          <w:szCs w:val="20"/>
          <w:lang w:val="en-US"/>
        </w:rPr>
        <w:t xml:space="preserve">tables </w:t>
      </w:r>
      <w:r w:rsidR="001F6654">
        <w:rPr>
          <w:color w:val="000000" w:themeColor="text1"/>
          <w:sz w:val="20"/>
          <w:szCs w:val="20"/>
          <w:lang w:val="en-US"/>
        </w:rPr>
        <w:t>are not divided</w:t>
      </w:r>
      <w:r w:rsidR="00AA6C99">
        <w:rPr>
          <w:color w:val="000000" w:themeColor="text1"/>
          <w:sz w:val="20"/>
          <w:szCs w:val="20"/>
          <w:lang w:val="en-US"/>
        </w:rPr>
        <w:t xml:space="preserve"> between band groups, </w:t>
      </w:r>
      <w:r w:rsidR="001F6654">
        <w:rPr>
          <w:color w:val="000000" w:themeColor="text1"/>
          <w:sz w:val="20"/>
          <w:szCs w:val="20"/>
          <w:lang w:val="en-US"/>
        </w:rPr>
        <w:t xml:space="preserve">the implementation of </w:t>
      </w:r>
      <w:r w:rsidR="00FA4EAD">
        <w:rPr>
          <w:color w:val="000000" w:themeColor="text1"/>
          <w:sz w:val="20"/>
          <w:szCs w:val="20"/>
          <w:lang w:val="en-US"/>
        </w:rPr>
        <w:t xml:space="preserve">a </w:t>
      </w:r>
      <w:r w:rsidR="001F6654">
        <w:rPr>
          <w:color w:val="000000" w:themeColor="text1"/>
          <w:sz w:val="20"/>
          <w:szCs w:val="20"/>
          <w:lang w:val="en-US"/>
        </w:rPr>
        <w:t>note</w:t>
      </w:r>
      <w:r w:rsidR="00FA4EAD">
        <w:rPr>
          <w:color w:val="000000" w:themeColor="text1"/>
          <w:sz w:val="20"/>
          <w:szCs w:val="20"/>
          <w:lang w:val="en-US"/>
        </w:rPr>
        <w:t xml:space="preserve"> – as in Option 1 -</w:t>
      </w:r>
      <w:r w:rsidR="001F6654">
        <w:rPr>
          <w:color w:val="000000" w:themeColor="text1"/>
          <w:sz w:val="20"/>
          <w:szCs w:val="20"/>
          <w:lang w:val="en-US"/>
        </w:rPr>
        <w:t xml:space="preserve"> will be </w:t>
      </w:r>
      <w:r w:rsidR="00704109">
        <w:rPr>
          <w:color w:val="000000" w:themeColor="text1"/>
          <w:sz w:val="20"/>
          <w:szCs w:val="20"/>
          <w:lang w:val="en-US"/>
        </w:rPr>
        <w:t xml:space="preserve">per CA combination. </w:t>
      </w:r>
      <w:r w:rsidR="001F6654">
        <w:rPr>
          <w:color w:val="000000" w:themeColor="text1"/>
          <w:sz w:val="20"/>
          <w:szCs w:val="20"/>
          <w:lang w:val="en-US"/>
        </w:rPr>
        <w:t xml:space="preserve">From that perspective, </w:t>
      </w:r>
      <w:r w:rsidR="00704109">
        <w:rPr>
          <w:color w:val="000000" w:themeColor="text1"/>
          <w:sz w:val="20"/>
          <w:szCs w:val="20"/>
          <w:lang w:val="en-US"/>
        </w:rPr>
        <w:t>Option 2</w:t>
      </w:r>
      <w:r w:rsidR="001F6654">
        <w:rPr>
          <w:color w:val="000000" w:themeColor="text1"/>
          <w:sz w:val="20"/>
          <w:szCs w:val="20"/>
          <w:lang w:val="en-US"/>
        </w:rPr>
        <w:t xml:space="preserve"> has the advantage that it covers</w:t>
      </w:r>
      <w:r w:rsidR="00704109">
        <w:rPr>
          <w:color w:val="000000" w:themeColor="text1"/>
          <w:sz w:val="20"/>
          <w:szCs w:val="20"/>
          <w:lang w:val="en-US"/>
        </w:rPr>
        <w:t xml:space="preserve"> beam management </w:t>
      </w:r>
      <w:r w:rsidR="001F6654">
        <w:rPr>
          <w:color w:val="000000" w:themeColor="text1"/>
          <w:sz w:val="20"/>
          <w:szCs w:val="20"/>
          <w:lang w:val="en-US"/>
        </w:rPr>
        <w:t>type per</w:t>
      </w:r>
      <w:r w:rsidR="00704109">
        <w:rPr>
          <w:color w:val="000000" w:themeColor="text1"/>
          <w:sz w:val="20"/>
          <w:szCs w:val="20"/>
          <w:lang w:val="en-US"/>
        </w:rPr>
        <w:t xml:space="preserve"> band group.</w:t>
      </w:r>
      <w:r w:rsidR="001F6654">
        <w:rPr>
          <w:color w:val="000000" w:themeColor="text1"/>
          <w:sz w:val="20"/>
          <w:szCs w:val="20"/>
          <w:lang w:val="en-US"/>
        </w:rPr>
        <w:br/>
      </w:r>
    </w:p>
    <w:p w14:paraId="3B9BB1DD" w14:textId="5CD3B7CE" w:rsidR="00BE5445" w:rsidRPr="00BE5445" w:rsidRDefault="00BE5445" w:rsidP="00BE5445">
      <w:pPr>
        <w:pStyle w:val="Proposal"/>
      </w:pPr>
      <w:r>
        <w:lastRenderedPageBreak/>
        <w:t xml:space="preserve">Proposal </w:t>
      </w:r>
      <w:r w:rsidR="00032013">
        <w:t>6</w:t>
      </w:r>
      <w:r>
        <w:t>:</w:t>
      </w:r>
      <w:r>
        <w:tab/>
        <w:t xml:space="preserve">RAN4 shall capture </w:t>
      </w:r>
      <w:r>
        <w:rPr>
          <w:color w:val="000000" w:themeColor="text1"/>
          <w:lang w:val="en-US"/>
        </w:rPr>
        <w:t xml:space="preserve">beam management type assumption per band pair </w:t>
      </w:r>
      <w:r w:rsidR="00704109">
        <w:rPr>
          <w:color w:val="000000" w:themeColor="text1"/>
          <w:lang w:val="en-US"/>
        </w:rPr>
        <w:t>as described in Option 2.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BDD65F" w14:textId="3A85A936" w:rsidR="00BC6A2C" w:rsidRPr="00E20336" w:rsidRDefault="00FA5857" w:rsidP="00BC6A2C">
      <w:pPr>
        <w:rPr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>provides our view on the introduction of a capability to declare between IBM or CBM band pairs.</w:t>
      </w:r>
    </w:p>
    <w:p w14:paraId="236404BB" w14:textId="5AB7069D" w:rsidR="00BC6A2C" w:rsidRPr="00BC6A2C" w:rsidRDefault="00BC6A2C" w:rsidP="00BC6A2C">
      <w:pPr>
        <w:pStyle w:val="TOC1"/>
      </w:pPr>
      <w:r>
        <w:t>Observation 1:</w:t>
      </w:r>
      <w:r>
        <w:tab/>
      </w:r>
      <w:r>
        <w:rPr>
          <w:color w:val="000000" w:themeColor="text1"/>
          <w:lang w:val="en-US"/>
        </w:rPr>
        <w:t>In our view the introduction of a capability to distinguish between IBM/CBM band pairs is not necessary</w:t>
      </w:r>
    </w:p>
    <w:p w14:paraId="6DEEBB16" w14:textId="794B97D1" w:rsidR="00F61EB9" w:rsidRDefault="00F61EB9" w:rsidP="00F61EB9">
      <w:pPr>
        <w:pStyle w:val="TOC1"/>
        <w:rPr>
          <w:color w:val="000000" w:themeColor="text1"/>
          <w:lang w:val="en-US"/>
        </w:rPr>
      </w:pPr>
      <w:r>
        <w:t>Proposal 1:</w:t>
      </w:r>
      <w:r>
        <w:tab/>
      </w:r>
      <w:r>
        <w:rPr>
          <w:color w:val="000000" w:themeColor="text1"/>
          <w:lang w:val="en-US"/>
        </w:rPr>
        <w:t>The beam management assumption for inter-band CA 28 GHz + 39 GHz is IBM.</w:t>
      </w:r>
    </w:p>
    <w:p w14:paraId="3E3E0A00" w14:textId="7DCA81DA" w:rsidR="00F61EB9" w:rsidRDefault="00F61EB9" w:rsidP="00F61EB9">
      <w:pPr>
        <w:pStyle w:val="TOC1"/>
        <w:rPr>
          <w:color w:val="000000" w:themeColor="text1"/>
          <w:lang w:val="en-US"/>
        </w:rPr>
      </w:pPr>
      <w:r>
        <w:t>Proposal 2:</w:t>
      </w:r>
      <w:r>
        <w:tab/>
      </w:r>
      <w:r>
        <w:rPr>
          <w:color w:val="000000" w:themeColor="text1"/>
          <w:lang w:val="en-US"/>
        </w:rPr>
        <w:t xml:space="preserve">The beam management assumption for inter-band CA </w:t>
      </w:r>
      <w:r>
        <w:rPr>
          <w:lang w:val="en-US"/>
        </w:rPr>
        <w:t xml:space="preserve">28 GHz + 28 GHz </w:t>
      </w:r>
      <w:r>
        <w:rPr>
          <w:color w:val="000000" w:themeColor="text1"/>
          <w:lang w:val="en-US"/>
        </w:rPr>
        <w:t>shall be CBM only.</w:t>
      </w:r>
    </w:p>
    <w:p w14:paraId="05BAA7F1" w14:textId="446E65A9" w:rsidR="007F3BEB" w:rsidRDefault="00F61EB9" w:rsidP="00F61EB9">
      <w:pPr>
        <w:pStyle w:val="TOC1"/>
        <w:rPr>
          <w:color w:val="000000" w:themeColor="text1"/>
          <w:lang w:val="en-US"/>
        </w:rPr>
      </w:pPr>
      <w:r>
        <w:t xml:space="preserve">Proposal </w:t>
      </w:r>
      <w:r w:rsidR="00777D73">
        <w:t>3</w:t>
      </w:r>
      <w:r>
        <w:t>:</w:t>
      </w:r>
      <w:r>
        <w:tab/>
      </w:r>
      <w:r>
        <w:rPr>
          <w:color w:val="000000" w:themeColor="text1"/>
          <w:lang w:val="en-US"/>
        </w:rPr>
        <w:t>The beam management assumption for inter-band CA 39 GHz + 39 GHz</w:t>
      </w:r>
      <w:r w:rsidDel="00327EB1">
        <w:rPr>
          <w:color w:val="000000" w:themeColor="text1"/>
          <w:lang w:val="en-US"/>
        </w:rPr>
        <w:t xml:space="preserve"> </w:t>
      </w:r>
      <w:r>
        <w:rPr>
          <w:color w:val="000000" w:themeColor="text1"/>
          <w:lang w:val="en-US"/>
        </w:rPr>
        <w:t>is CBM only.</w:t>
      </w:r>
    </w:p>
    <w:p w14:paraId="3D3C8AB3" w14:textId="3759870F" w:rsidR="00777D73" w:rsidRDefault="00777D73" w:rsidP="00777D73">
      <w:pPr>
        <w:pStyle w:val="TOC1"/>
        <w:rPr>
          <w:color w:val="000000" w:themeColor="text1"/>
          <w:lang w:val="en-US"/>
        </w:rPr>
      </w:pPr>
      <w:r>
        <w:t>Proposal 4:</w:t>
      </w:r>
      <w:r>
        <w:tab/>
      </w:r>
      <w:r>
        <w:rPr>
          <w:color w:val="000000" w:themeColor="text1"/>
          <w:lang w:val="en-US"/>
        </w:rPr>
        <w:t>For</w:t>
      </w:r>
      <w:r>
        <w:t xml:space="preserve"> intra-band CA, the beam management assumption is CBM only.</w:t>
      </w:r>
    </w:p>
    <w:p w14:paraId="3F2A1F79" w14:textId="525B4241" w:rsidR="00BC6A2C" w:rsidRDefault="0062595A" w:rsidP="00BC6A2C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TOC \n \t "Proposal,1" </w:instrText>
      </w:r>
      <w:r>
        <w:rPr>
          <w:b w:val="0"/>
        </w:rPr>
        <w:fldChar w:fldCharType="separate"/>
      </w:r>
      <w:r w:rsidR="00BC6A2C">
        <w:t>Proposal 5:</w:t>
      </w:r>
      <w:r w:rsidR="00BC6A2C">
        <w:tab/>
        <w:t>RAN4 shall define the band combinations as CBM/IBM in the specification.</w:t>
      </w:r>
    </w:p>
    <w:p w14:paraId="758BB61E" w14:textId="18ACAB3A" w:rsidR="00BE5445" w:rsidRDefault="00BE5445" w:rsidP="00BC6A2C">
      <w:pPr>
        <w:pStyle w:val="TOC1"/>
      </w:pPr>
      <w:r>
        <w:t xml:space="preserve">Proposal </w:t>
      </w:r>
      <w:r w:rsidR="00032013">
        <w:t>6</w:t>
      </w:r>
      <w:r>
        <w:t>:</w:t>
      </w:r>
      <w:r>
        <w:tab/>
      </w:r>
      <w:r w:rsidR="00704109">
        <w:tab/>
        <w:t xml:space="preserve">RAN4 shall capture </w:t>
      </w:r>
      <w:r w:rsidR="00704109">
        <w:rPr>
          <w:color w:val="000000" w:themeColor="text1"/>
          <w:lang w:val="en-US"/>
        </w:rPr>
        <w:t>beam management type assumption per band pair as described in Option 2.</w:t>
      </w:r>
    </w:p>
    <w:p w14:paraId="4E5FC9C0" w14:textId="10A36A26" w:rsidR="00F82A53" w:rsidRPr="003A0483" w:rsidRDefault="0062595A" w:rsidP="00F82A53">
      <w:pPr>
        <w:pStyle w:val="Heading1"/>
      </w:pPr>
      <w:r>
        <w:rPr>
          <w:b/>
          <w:bCs/>
        </w:rPr>
        <w:fldChar w:fldCharType="end"/>
      </w:r>
      <w:r w:rsidR="00F82A53">
        <w:t>4</w:t>
      </w:r>
      <w:r w:rsidR="00F82A53">
        <w:tab/>
        <w:t>References</w:t>
      </w:r>
    </w:p>
    <w:p w14:paraId="4BCBB885" w14:textId="4958105C" w:rsidR="00F82A53" w:rsidRPr="004D3578" w:rsidRDefault="00F82A53" w:rsidP="00F82A53">
      <w:pPr>
        <w:pStyle w:val="EX"/>
      </w:pPr>
      <w:bookmarkStart w:id="4" w:name="_Ref13820109"/>
      <w:r w:rsidRPr="008F5FF0">
        <w:t>R4-19</w:t>
      </w:r>
      <w:r w:rsidR="00FA5857">
        <w:t>16024</w:t>
      </w:r>
      <w:r>
        <w:t>,</w:t>
      </w:r>
      <w:r w:rsidRPr="004D3578">
        <w:t xml:space="preserve"> </w:t>
      </w:r>
      <w:bookmarkEnd w:id="4"/>
      <w:r w:rsidR="00FA5857">
        <w:t>“</w:t>
      </w:r>
      <w:r w:rsidR="00FA5857" w:rsidRPr="0059483E">
        <w:rPr>
          <w:lang w:val="en-US"/>
        </w:rPr>
        <w:t>WF on FR2 inter-band DL CA</w:t>
      </w:r>
      <w:r w:rsidR="00FA5857">
        <w:rPr>
          <w:lang w:val="en-US"/>
        </w:rPr>
        <w:t xml:space="preserve">”, </w:t>
      </w:r>
      <w:r w:rsidR="00FA5857" w:rsidRPr="0059483E">
        <w:rPr>
          <w:lang w:val="en-US"/>
        </w:rPr>
        <w:t>Nokia, Nokia Shanghai Bell</w:t>
      </w:r>
      <w:r w:rsidR="00FA5857">
        <w:rPr>
          <w:lang w:val="en-US"/>
        </w:rPr>
        <w:t>, 3GPP RAN4 #93, November 2019</w:t>
      </w:r>
    </w:p>
    <w:p w14:paraId="7797553A" w14:textId="2A69C503" w:rsidR="00FA5857" w:rsidRPr="00FA5857" w:rsidRDefault="00FA5857" w:rsidP="00FA5857">
      <w:pPr>
        <w:pStyle w:val="EX"/>
      </w:pPr>
      <w:r>
        <w:rPr>
          <w:color w:val="000000" w:themeColor="text1"/>
          <w:lang w:val="en-US"/>
        </w:rPr>
        <w:t>R4-2006633, “</w:t>
      </w:r>
      <w:r w:rsidRPr="00FA5857">
        <w:rPr>
          <w:lang w:val="en-US"/>
        </w:rPr>
        <w:t>On common beam management assumptions and PSD difference in FR2 CA</w:t>
      </w:r>
      <w:r>
        <w:rPr>
          <w:lang w:val="en-US"/>
        </w:rPr>
        <w:t>”, Apple Inc.,</w:t>
      </w:r>
      <w:r w:rsidRPr="00FA5857">
        <w:rPr>
          <w:lang w:val="en-US"/>
        </w:rPr>
        <w:t xml:space="preserve"> </w:t>
      </w:r>
      <w:r w:rsidRPr="00102159">
        <w:rPr>
          <w:lang w:val="en-US"/>
        </w:rPr>
        <w:t>3GPP RAN-WG4 Meeting #95-e</w:t>
      </w:r>
      <w:r>
        <w:rPr>
          <w:lang w:val="en-US"/>
        </w:rPr>
        <w:t>, June 2020</w:t>
      </w:r>
    </w:p>
    <w:p w14:paraId="0C0160A0" w14:textId="6B97554F" w:rsidR="00F473C8" w:rsidRPr="00BE5445" w:rsidRDefault="00FA5857" w:rsidP="00EA5922">
      <w:pPr>
        <w:pStyle w:val="EX"/>
      </w:pPr>
      <w:r>
        <w:rPr>
          <w:color w:val="000000" w:themeColor="text1"/>
          <w:lang w:val="en-US"/>
        </w:rPr>
        <w:t xml:space="preserve">R4-1907901, </w:t>
      </w:r>
      <w:r w:rsidRPr="00102159">
        <w:rPr>
          <w:lang w:val="en-US"/>
        </w:rPr>
        <w:t xml:space="preserve">3GPP </w:t>
      </w:r>
      <w:r w:rsidRPr="00FA5857">
        <w:rPr>
          <w:lang w:val="en-US"/>
        </w:rPr>
        <w:t>RAN4 #91 Meeting report</w:t>
      </w:r>
      <w:bookmarkEnd w:id="0"/>
    </w:p>
    <w:sectPr w:rsidR="00F473C8" w:rsidRPr="00BE544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83B96A" w14:textId="77777777" w:rsidR="00FF758B" w:rsidRDefault="00FF758B">
      <w:r>
        <w:separator/>
      </w:r>
    </w:p>
  </w:endnote>
  <w:endnote w:type="continuationSeparator" w:id="0">
    <w:p w14:paraId="14B2441F" w14:textId="77777777" w:rsidR="00FF758B" w:rsidRDefault="00FF7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9979CE" w14:textId="77777777" w:rsidR="00FF758B" w:rsidRDefault="00FF758B">
      <w:r>
        <w:separator/>
      </w:r>
    </w:p>
  </w:footnote>
  <w:footnote w:type="continuationSeparator" w:id="0">
    <w:p w14:paraId="4724CC66" w14:textId="77777777" w:rsidR="00FF758B" w:rsidRDefault="00FF7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4E36E8"/>
    <w:multiLevelType w:val="hybridMultilevel"/>
    <w:tmpl w:val="23F6FD0A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77374F"/>
    <w:multiLevelType w:val="multilevel"/>
    <w:tmpl w:val="3EB889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44FB0"/>
    <w:multiLevelType w:val="hybridMultilevel"/>
    <w:tmpl w:val="CFD0EE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344B8"/>
    <w:multiLevelType w:val="hybridMultilevel"/>
    <w:tmpl w:val="29DC6600"/>
    <w:lvl w:ilvl="0" w:tplc="517672FA">
      <w:numFmt w:val="bullet"/>
      <w:lvlText w:val="-"/>
      <w:lvlJc w:val="left"/>
      <w:pPr>
        <w:ind w:left="644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E021FAF"/>
    <w:multiLevelType w:val="hybridMultilevel"/>
    <w:tmpl w:val="45787A36"/>
    <w:lvl w:ilvl="0" w:tplc="C6B6A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AE59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A2E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AE1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9FA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8B45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CE56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7E78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7C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17566E5A"/>
    <w:multiLevelType w:val="hybridMultilevel"/>
    <w:tmpl w:val="4330F006"/>
    <w:lvl w:ilvl="0" w:tplc="44A626AE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E7935C4"/>
    <w:multiLevelType w:val="hybridMultilevel"/>
    <w:tmpl w:val="9A68F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42DE4"/>
    <w:multiLevelType w:val="hybridMultilevel"/>
    <w:tmpl w:val="59DE05A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DF97379"/>
    <w:multiLevelType w:val="hybridMultilevel"/>
    <w:tmpl w:val="9438D3F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CD18A0"/>
    <w:multiLevelType w:val="hybridMultilevel"/>
    <w:tmpl w:val="DCA2CAD8"/>
    <w:lvl w:ilvl="0" w:tplc="35348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2980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0E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2026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06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587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74B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AC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B4B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D31258"/>
    <w:multiLevelType w:val="hybridMultilevel"/>
    <w:tmpl w:val="38B2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43595"/>
    <w:multiLevelType w:val="hybridMultilevel"/>
    <w:tmpl w:val="AFBE9E3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45542A2"/>
    <w:multiLevelType w:val="hybridMultilevel"/>
    <w:tmpl w:val="E0B2BDDA"/>
    <w:lvl w:ilvl="0" w:tplc="F294D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2A66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E86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E9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38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8D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020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A6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568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5AF61E1"/>
    <w:multiLevelType w:val="hybridMultilevel"/>
    <w:tmpl w:val="4D2E4AC6"/>
    <w:lvl w:ilvl="0" w:tplc="2A9ADDD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CB30BA9"/>
    <w:multiLevelType w:val="hybridMultilevel"/>
    <w:tmpl w:val="0DE67C46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17743"/>
    <w:multiLevelType w:val="hybridMultilevel"/>
    <w:tmpl w:val="1FF0C5F4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3354D"/>
    <w:multiLevelType w:val="hybridMultilevel"/>
    <w:tmpl w:val="FBF46A52"/>
    <w:lvl w:ilvl="0" w:tplc="236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6A7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E4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AEDC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E68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52F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A8D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13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C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6E3A5F"/>
    <w:multiLevelType w:val="hybridMultilevel"/>
    <w:tmpl w:val="223816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5054B"/>
    <w:multiLevelType w:val="hybridMultilevel"/>
    <w:tmpl w:val="9AC03B30"/>
    <w:lvl w:ilvl="0" w:tplc="517672FA">
      <w:numFmt w:val="bullet"/>
      <w:lvlText w:val="-"/>
      <w:lvlJc w:val="left"/>
      <w:pPr>
        <w:ind w:left="36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F011E8"/>
    <w:multiLevelType w:val="hybridMultilevel"/>
    <w:tmpl w:val="4846F9E2"/>
    <w:lvl w:ilvl="0" w:tplc="517672FA"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D294B"/>
    <w:multiLevelType w:val="hybridMultilevel"/>
    <w:tmpl w:val="B01815C2"/>
    <w:lvl w:ilvl="0" w:tplc="886048B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3"/>
  </w:num>
  <w:num w:numId="5">
    <w:abstractNumId w:val="5"/>
  </w:num>
  <w:num w:numId="6">
    <w:abstractNumId w:val="5"/>
  </w:num>
  <w:num w:numId="7">
    <w:abstractNumId w:val="15"/>
  </w:num>
  <w:num w:numId="8">
    <w:abstractNumId w:val="8"/>
  </w:num>
  <w:num w:numId="9">
    <w:abstractNumId w:val="16"/>
  </w:num>
  <w:num w:numId="10">
    <w:abstractNumId w:val="4"/>
  </w:num>
  <w:num w:numId="11">
    <w:abstractNumId w:val="19"/>
  </w:num>
  <w:num w:numId="12">
    <w:abstractNumId w:val="2"/>
  </w:num>
  <w:num w:numId="13">
    <w:abstractNumId w:val="17"/>
  </w:num>
  <w:num w:numId="14">
    <w:abstractNumId w:val="10"/>
  </w:num>
  <w:num w:numId="15">
    <w:abstractNumId w:val="9"/>
  </w:num>
  <w:num w:numId="16">
    <w:abstractNumId w:val="27"/>
  </w:num>
  <w:num w:numId="17">
    <w:abstractNumId w:val="25"/>
  </w:num>
  <w:num w:numId="18">
    <w:abstractNumId w:val="26"/>
  </w:num>
  <w:num w:numId="19">
    <w:abstractNumId w:val="7"/>
  </w:num>
  <w:num w:numId="20">
    <w:abstractNumId w:val="21"/>
  </w:num>
  <w:num w:numId="21">
    <w:abstractNumId w:val="20"/>
  </w:num>
  <w:num w:numId="22">
    <w:abstractNumId w:val="6"/>
  </w:num>
  <w:num w:numId="23">
    <w:abstractNumId w:val="18"/>
  </w:num>
  <w:num w:numId="24">
    <w:abstractNumId w:val="11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C9D"/>
    <w:rsid w:val="00032013"/>
    <w:rsid w:val="00033397"/>
    <w:rsid w:val="00040095"/>
    <w:rsid w:val="00046668"/>
    <w:rsid w:val="00051834"/>
    <w:rsid w:val="00054A22"/>
    <w:rsid w:val="00062023"/>
    <w:rsid w:val="000655A6"/>
    <w:rsid w:val="00080512"/>
    <w:rsid w:val="000A365D"/>
    <w:rsid w:val="000A68F3"/>
    <w:rsid w:val="000B49E9"/>
    <w:rsid w:val="000C47C3"/>
    <w:rsid w:val="000D0499"/>
    <w:rsid w:val="000D58AB"/>
    <w:rsid w:val="000F3A6A"/>
    <w:rsid w:val="00104BC6"/>
    <w:rsid w:val="00114C9B"/>
    <w:rsid w:val="00114E2C"/>
    <w:rsid w:val="00133525"/>
    <w:rsid w:val="00173D3F"/>
    <w:rsid w:val="001804B6"/>
    <w:rsid w:val="001A233A"/>
    <w:rsid w:val="001A2D0F"/>
    <w:rsid w:val="001A4C42"/>
    <w:rsid w:val="001B1234"/>
    <w:rsid w:val="001C21C3"/>
    <w:rsid w:val="001D02C2"/>
    <w:rsid w:val="001F0C1D"/>
    <w:rsid w:val="001F1132"/>
    <w:rsid w:val="001F168B"/>
    <w:rsid w:val="001F6654"/>
    <w:rsid w:val="0022017B"/>
    <w:rsid w:val="0022228A"/>
    <w:rsid w:val="002347A2"/>
    <w:rsid w:val="002409A7"/>
    <w:rsid w:val="00247926"/>
    <w:rsid w:val="00264C5D"/>
    <w:rsid w:val="002675F0"/>
    <w:rsid w:val="00276EE4"/>
    <w:rsid w:val="0029139E"/>
    <w:rsid w:val="002A4AB3"/>
    <w:rsid w:val="002B6339"/>
    <w:rsid w:val="002B7E71"/>
    <w:rsid w:val="002C37CE"/>
    <w:rsid w:val="002D1FC1"/>
    <w:rsid w:val="002E00EE"/>
    <w:rsid w:val="003068EC"/>
    <w:rsid w:val="003172DC"/>
    <w:rsid w:val="003177B7"/>
    <w:rsid w:val="00327EB1"/>
    <w:rsid w:val="0034052F"/>
    <w:rsid w:val="0035462D"/>
    <w:rsid w:val="003712C6"/>
    <w:rsid w:val="003765B8"/>
    <w:rsid w:val="003A0483"/>
    <w:rsid w:val="003A0858"/>
    <w:rsid w:val="003C0DD3"/>
    <w:rsid w:val="003C3971"/>
    <w:rsid w:val="003E7753"/>
    <w:rsid w:val="003E7A93"/>
    <w:rsid w:val="00423334"/>
    <w:rsid w:val="004345EC"/>
    <w:rsid w:val="00481321"/>
    <w:rsid w:val="004826A9"/>
    <w:rsid w:val="00484FCE"/>
    <w:rsid w:val="004A636C"/>
    <w:rsid w:val="004C1601"/>
    <w:rsid w:val="004D3578"/>
    <w:rsid w:val="004E213A"/>
    <w:rsid w:val="004F0988"/>
    <w:rsid w:val="004F3340"/>
    <w:rsid w:val="004F3E3D"/>
    <w:rsid w:val="005036A1"/>
    <w:rsid w:val="005071E6"/>
    <w:rsid w:val="005120B8"/>
    <w:rsid w:val="00515603"/>
    <w:rsid w:val="005231A4"/>
    <w:rsid w:val="0053388B"/>
    <w:rsid w:val="00534D46"/>
    <w:rsid w:val="00535773"/>
    <w:rsid w:val="00543E6C"/>
    <w:rsid w:val="005607F7"/>
    <w:rsid w:val="00562E96"/>
    <w:rsid w:val="00564329"/>
    <w:rsid w:val="00565087"/>
    <w:rsid w:val="00572E14"/>
    <w:rsid w:val="00594F57"/>
    <w:rsid w:val="005951A2"/>
    <w:rsid w:val="005973BE"/>
    <w:rsid w:val="005A5986"/>
    <w:rsid w:val="005C7DF2"/>
    <w:rsid w:val="005D2E01"/>
    <w:rsid w:val="005D7526"/>
    <w:rsid w:val="005E69AE"/>
    <w:rsid w:val="005E6E2B"/>
    <w:rsid w:val="00602AEA"/>
    <w:rsid w:val="006073EA"/>
    <w:rsid w:val="00607E3C"/>
    <w:rsid w:val="00614FDF"/>
    <w:rsid w:val="006246A7"/>
    <w:rsid w:val="0062595A"/>
    <w:rsid w:val="0063543D"/>
    <w:rsid w:val="00640909"/>
    <w:rsid w:val="00640A0F"/>
    <w:rsid w:val="00647114"/>
    <w:rsid w:val="00672845"/>
    <w:rsid w:val="0069083A"/>
    <w:rsid w:val="006913B3"/>
    <w:rsid w:val="00695D25"/>
    <w:rsid w:val="006A323F"/>
    <w:rsid w:val="006A72DB"/>
    <w:rsid w:val="006B30D0"/>
    <w:rsid w:val="006C1ECB"/>
    <w:rsid w:val="006C3D95"/>
    <w:rsid w:val="006C6705"/>
    <w:rsid w:val="006E25D1"/>
    <w:rsid w:val="006E5C86"/>
    <w:rsid w:val="00704109"/>
    <w:rsid w:val="00713C44"/>
    <w:rsid w:val="00734A5B"/>
    <w:rsid w:val="00737475"/>
    <w:rsid w:val="0074026F"/>
    <w:rsid w:val="007429F6"/>
    <w:rsid w:val="00744E76"/>
    <w:rsid w:val="00752198"/>
    <w:rsid w:val="00753881"/>
    <w:rsid w:val="00774DA4"/>
    <w:rsid w:val="00777D73"/>
    <w:rsid w:val="00781F0F"/>
    <w:rsid w:val="007B600E"/>
    <w:rsid w:val="007F0F4A"/>
    <w:rsid w:val="007F3BEB"/>
    <w:rsid w:val="007F4CF9"/>
    <w:rsid w:val="008028A4"/>
    <w:rsid w:val="00815E53"/>
    <w:rsid w:val="00820B25"/>
    <w:rsid w:val="00830747"/>
    <w:rsid w:val="00847B1B"/>
    <w:rsid w:val="008768CA"/>
    <w:rsid w:val="00884741"/>
    <w:rsid w:val="0089633C"/>
    <w:rsid w:val="008B6C87"/>
    <w:rsid w:val="008C384C"/>
    <w:rsid w:val="008C494B"/>
    <w:rsid w:val="008D7FE6"/>
    <w:rsid w:val="008E7986"/>
    <w:rsid w:val="008F0165"/>
    <w:rsid w:val="008F464F"/>
    <w:rsid w:val="008F5FF0"/>
    <w:rsid w:val="0090271F"/>
    <w:rsid w:val="00902E23"/>
    <w:rsid w:val="009114D7"/>
    <w:rsid w:val="0091348E"/>
    <w:rsid w:val="00917CCB"/>
    <w:rsid w:val="00942EC2"/>
    <w:rsid w:val="00970ECC"/>
    <w:rsid w:val="009D4BA3"/>
    <w:rsid w:val="009D547B"/>
    <w:rsid w:val="009D74AF"/>
    <w:rsid w:val="009F37B7"/>
    <w:rsid w:val="009F5E43"/>
    <w:rsid w:val="009F649B"/>
    <w:rsid w:val="00A10F02"/>
    <w:rsid w:val="00A164B4"/>
    <w:rsid w:val="00A26956"/>
    <w:rsid w:val="00A41A8C"/>
    <w:rsid w:val="00A53724"/>
    <w:rsid w:val="00A61916"/>
    <w:rsid w:val="00A622AB"/>
    <w:rsid w:val="00A73129"/>
    <w:rsid w:val="00A82346"/>
    <w:rsid w:val="00A92BA1"/>
    <w:rsid w:val="00AA437A"/>
    <w:rsid w:val="00AA6C99"/>
    <w:rsid w:val="00AC6BC6"/>
    <w:rsid w:val="00AE3797"/>
    <w:rsid w:val="00AF35C3"/>
    <w:rsid w:val="00AF5143"/>
    <w:rsid w:val="00B15449"/>
    <w:rsid w:val="00B35399"/>
    <w:rsid w:val="00B40992"/>
    <w:rsid w:val="00B727C0"/>
    <w:rsid w:val="00B81B92"/>
    <w:rsid w:val="00B93086"/>
    <w:rsid w:val="00BA19ED"/>
    <w:rsid w:val="00BA2787"/>
    <w:rsid w:val="00BA300B"/>
    <w:rsid w:val="00BA4B8D"/>
    <w:rsid w:val="00BA6CA9"/>
    <w:rsid w:val="00BB1ED8"/>
    <w:rsid w:val="00BB4141"/>
    <w:rsid w:val="00BC0F7D"/>
    <w:rsid w:val="00BC6A2C"/>
    <w:rsid w:val="00BD224C"/>
    <w:rsid w:val="00BE3255"/>
    <w:rsid w:val="00BE5445"/>
    <w:rsid w:val="00BF128E"/>
    <w:rsid w:val="00BF7FB6"/>
    <w:rsid w:val="00C1496A"/>
    <w:rsid w:val="00C26EFB"/>
    <w:rsid w:val="00C33079"/>
    <w:rsid w:val="00C34751"/>
    <w:rsid w:val="00C45231"/>
    <w:rsid w:val="00C72833"/>
    <w:rsid w:val="00C80F1D"/>
    <w:rsid w:val="00C827F9"/>
    <w:rsid w:val="00C868CC"/>
    <w:rsid w:val="00C93F40"/>
    <w:rsid w:val="00CA2A1B"/>
    <w:rsid w:val="00CA3D0C"/>
    <w:rsid w:val="00CB6512"/>
    <w:rsid w:val="00CC1807"/>
    <w:rsid w:val="00CF20E3"/>
    <w:rsid w:val="00D0198D"/>
    <w:rsid w:val="00D11090"/>
    <w:rsid w:val="00D309CC"/>
    <w:rsid w:val="00D4439B"/>
    <w:rsid w:val="00D46431"/>
    <w:rsid w:val="00D55A42"/>
    <w:rsid w:val="00D56A52"/>
    <w:rsid w:val="00D57972"/>
    <w:rsid w:val="00D63693"/>
    <w:rsid w:val="00D675A9"/>
    <w:rsid w:val="00D67DE5"/>
    <w:rsid w:val="00D738D6"/>
    <w:rsid w:val="00D755EB"/>
    <w:rsid w:val="00D81258"/>
    <w:rsid w:val="00D85B41"/>
    <w:rsid w:val="00D87E00"/>
    <w:rsid w:val="00D9134D"/>
    <w:rsid w:val="00DA7A03"/>
    <w:rsid w:val="00DB1818"/>
    <w:rsid w:val="00DC309B"/>
    <w:rsid w:val="00DC4DA2"/>
    <w:rsid w:val="00DD4C17"/>
    <w:rsid w:val="00DE1CAB"/>
    <w:rsid w:val="00DF2B1F"/>
    <w:rsid w:val="00DF6189"/>
    <w:rsid w:val="00DF62CD"/>
    <w:rsid w:val="00DF754D"/>
    <w:rsid w:val="00E16509"/>
    <w:rsid w:val="00E20336"/>
    <w:rsid w:val="00E30003"/>
    <w:rsid w:val="00E44582"/>
    <w:rsid w:val="00E52814"/>
    <w:rsid w:val="00E52BB4"/>
    <w:rsid w:val="00E64484"/>
    <w:rsid w:val="00E71149"/>
    <w:rsid w:val="00E72324"/>
    <w:rsid w:val="00E72ABE"/>
    <w:rsid w:val="00E75F32"/>
    <w:rsid w:val="00E77645"/>
    <w:rsid w:val="00EA5922"/>
    <w:rsid w:val="00EB13A6"/>
    <w:rsid w:val="00EB7D89"/>
    <w:rsid w:val="00EC3D07"/>
    <w:rsid w:val="00EC4847"/>
    <w:rsid w:val="00EC4A25"/>
    <w:rsid w:val="00ED03F2"/>
    <w:rsid w:val="00EE5AA7"/>
    <w:rsid w:val="00F025A2"/>
    <w:rsid w:val="00F04712"/>
    <w:rsid w:val="00F21311"/>
    <w:rsid w:val="00F22134"/>
    <w:rsid w:val="00F22EC7"/>
    <w:rsid w:val="00F325C8"/>
    <w:rsid w:val="00F33D39"/>
    <w:rsid w:val="00F473C8"/>
    <w:rsid w:val="00F61EB9"/>
    <w:rsid w:val="00F62AEB"/>
    <w:rsid w:val="00F653B8"/>
    <w:rsid w:val="00F70647"/>
    <w:rsid w:val="00F72CCC"/>
    <w:rsid w:val="00F82A53"/>
    <w:rsid w:val="00F94074"/>
    <w:rsid w:val="00FA1266"/>
    <w:rsid w:val="00FA4489"/>
    <w:rsid w:val="00FA4EAD"/>
    <w:rsid w:val="00FA5857"/>
    <w:rsid w:val="00FC1192"/>
    <w:rsid w:val="00FF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목록 단락,列出段落,?? ??,?????,????,リスト段落,Lista1,列出段落1,中等深浅网格 1 - 着色 21,列表段落"/>
    <w:basedOn w:val="Normal"/>
    <w:link w:val="ListParagraphChar"/>
    <w:uiPriority w:val="34"/>
    <w:qFormat/>
    <w:rsid w:val="003C0DD3"/>
    <w:pPr>
      <w:spacing w:after="0"/>
      <w:ind w:left="720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3C0DD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E30003"/>
  </w:style>
  <w:style w:type="paragraph" w:customStyle="1" w:styleId="indent">
    <w:name w:val="indent"/>
    <w:basedOn w:val="Normal"/>
    <w:rsid w:val="00E3000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hangingb">
    <w:name w:val="indenthangingb"/>
    <w:basedOn w:val="Normal"/>
    <w:rsid w:val="00E3000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noindent">
    <w:name w:val="noindent"/>
    <w:basedOn w:val="Normal"/>
    <w:rsid w:val="00E3000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E30003"/>
    <w:rPr>
      <w:i/>
      <w:iCs/>
    </w:rPr>
  </w:style>
  <w:style w:type="character" w:customStyle="1" w:styleId="ListParagraphChar">
    <w:name w:val="List Paragraph Char"/>
    <w:aliases w:val="- Bullets Char,목록 단락 Char,列出段落 Char,?? ?? Char,????? Char,???? Char,リスト段落 Char,Lista1 Char,列出段落1 Char,中等深浅网格 1 - 着色 21 Char,列表段落 Char"/>
    <w:link w:val="ListParagraph"/>
    <w:uiPriority w:val="34"/>
    <w:qFormat/>
    <w:locked/>
    <w:rsid w:val="008F5FF0"/>
    <w:rPr>
      <w:lang w:val="en-US" w:eastAsia="en-US"/>
    </w:rPr>
  </w:style>
  <w:style w:type="character" w:styleId="CommentReference">
    <w:name w:val="annotation reference"/>
    <w:basedOn w:val="DefaultParagraphFont"/>
    <w:rsid w:val="00C868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68CC"/>
  </w:style>
  <w:style w:type="character" w:customStyle="1" w:styleId="CommentTextChar">
    <w:name w:val="Comment Text Char"/>
    <w:basedOn w:val="DefaultParagraphFont"/>
    <w:link w:val="CommentText"/>
    <w:rsid w:val="00C868C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68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868C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5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87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3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338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4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3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5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6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1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5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91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7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9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8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0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8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3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5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1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80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1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04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06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0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43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4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84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1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44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9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8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62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4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8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4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20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51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60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4019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906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021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513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5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71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82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23735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44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820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652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8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36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0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9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9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0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4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8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15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67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0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4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10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33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66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82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618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9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7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5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83012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939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437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9911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81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4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6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3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21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9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2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3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0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25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1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54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9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6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13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47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4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822">
          <w:marLeft w:val="0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68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1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06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0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7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96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8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4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96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2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7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1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78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6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8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92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7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2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67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74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21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94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4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3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6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35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5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751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9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27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7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6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0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11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95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05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5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1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3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1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044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94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93080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44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292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8585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66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55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96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4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218F9-B83F-EC48-B050-BE1F1AAB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6856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6</cp:revision>
  <cp:lastPrinted>2019-02-25T14:05:00Z</cp:lastPrinted>
  <dcterms:created xsi:type="dcterms:W3CDTF">2020-08-06T09:16:00Z</dcterms:created>
  <dcterms:modified xsi:type="dcterms:W3CDTF">2020-08-07T18:06:00Z</dcterms:modified>
  <cp:category/>
</cp:coreProperties>
</file>